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172" w:rsidRDefault="00DF2172" w:rsidP="00DF2172">
      <w:pPr>
        <w:autoSpaceDE w:val="0"/>
        <w:autoSpaceDN w:val="0"/>
        <w:adjustRightInd w:val="0"/>
        <w:spacing w:after="0" w:line="240" w:lineRule="auto"/>
        <w:jc w:val="both"/>
        <w:outlineLvl w:val="0"/>
        <w:rPr>
          <w:rFonts w:ascii="Times New Roman" w:hAnsi="Times New Roman" w:cs="Times New Roman"/>
          <w:sz w:val="24"/>
          <w:szCs w:val="24"/>
        </w:rPr>
      </w:pPr>
    </w:p>
    <w:p w:rsidR="00DF2172" w:rsidRDefault="00DF2172" w:rsidP="00DF2172">
      <w:pPr>
        <w:autoSpaceDE w:val="0"/>
        <w:autoSpaceDN w:val="0"/>
        <w:adjustRightInd w:val="0"/>
        <w:spacing w:after="0" w:line="240" w:lineRule="auto"/>
        <w:outlineLvl w:val="0"/>
        <w:rPr>
          <w:rFonts w:ascii="Times New Roman" w:hAnsi="Times New Roman" w:cs="Times New Roman"/>
          <w:sz w:val="24"/>
          <w:szCs w:val="24"/>
        </w:rPr>
      </w:pPr>
      <w:r>
        <w:rPr>
          <w:rFonts w:ascii="Times New Roman" w:hAnsi="Times New Roman" w:cs="Times New Roman"/>
          <w:sz w:val="24"/>
          <w:szCs w:val="24"/>
        </w:rPr>
        <w:t>Зарегистрировано в Минюсте РФ 11 февраля 2003 г. N 4204</w:t>
      </w:r>
    </w:p>
    <w:p w:rsidR="00DF2172" w:rsidRDefault="00DF2172" w:rsidP="00DF2172">
      <w:pPr>
        <w:pBdr>
          <w:bottom w:val="single" w:sz="6" w:space="0" w:color="auto"/>
        </w:pBdr>
        <w:autoSpaceDE w:val="0"/>
        <w:autoSpaceDN w:val="0"/>
        <w:adjustRightInd w:val="0"/>
        <w:spacing w:after="0" w:line="240" w:lineRule="auto"/>
        <w:rPr>
          <w:rFonts w:ascii="Times New Roman" w:hAnsi="Times New Roman" w:cs="Times New Roman"/>
          <w:sz w:val="5"/>
          <w:szCs w:val="5"/>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МИНИСТЕРСТВО ЗДРАВООХРАНЕНИЯ РОССИЙСКОЙ ФЕДЕРАЦИИ</w:t>
      </w:r>
    </w:p>
    <w:p w:rsidR="00DF2172" w:rsidRDefault="00DF2172" w:rsidP="00DF2172">
      <w:pPr>
        <w:autoSpaceDE w:val="0"/>
        <w:autoSpaceDN w:val="0"/>
        <w:adjustRightInd w:val="0"/>
        <w:spacing w:after="0" w:line="240" w:lineRule="auto"/>
        <w:jc w:val="center"/>
        <w:rPr>
          <w:rFonts w:ascii="Times New Roman" w:hAnsi="Times New Roman" w:cs="Times New Roman"/>
          <w:b/>
          <w:bCs/>
          <w:sz w:val="24"/>
          <w:szCs w:val="24"/>
        </w:rPr>
      </w:pPr>
    </w:p>
    <w:p w:rsidR="00DF2172" w:rsidRDefault="00DF2172" w:rsidP="00DF217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ГЛАВНЫЙ ГОСУДАРСТВЕННЫЙ САНИТАРНЫЙ ВРАЧ</w:t>
      </w:r>
    </w:p>
    <w:p w:rsidR="00DF2172" w:rsidRDefault="00DF2172" w:rsidP="00DF217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РОССИЙСКОЙ ФЕДЕРАЦИИ</w:t>
      </w:r>
    </w:p>
    <w:p w:rsidR="00DF2172" w:rsidRDefault="00DF2172" w:rsidP="00DF2172">
      <w:pPr>
        <w:autoSpaceDE w:val="0"/>
        <w:autoSpaceDN w:val="0"/>
        <w:adjustRightInd w:val="0"/>
        <w:spacing w:after="0" w:line="240" w:lineRule="auto"/>
        <w:jc w:val="center"/>
        <w:rPr>
          <w:rFonts w:ascii="Times New Roman" w:hAnsi="Times New Roman" w:cs="Times New Roman"/>
          <w:b/>
          <w:bCs/>
          <w:sz w:val="24"/>
          <w:szCs w:val="24"/>
        </w:rPr>
      </w:pPr>
    </w:p>
    <w:p w:rsidR="00DF2172" w:rsidRDefault="00DF2172" w:rsidP="00DF217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ПОСТАНОВЛЕНИЕ</w:t>
      </w:r>
    </w:p>
    <w:p w:rsidR="00DF2172" w:rsidRDefault="00DF2172" w:rsidP="00DF217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от 28 января 2003 г. N 2</w:t>
      </w:r>
    </w:p>
    <w:p w:rsidR="00DF2172" w:rsidRDefault="00DF2172" w:rsidP="00DF2172">
      <w:pPr>
        <w:autoSpaceDE w:val="0"/>
        <w:autoSpaceDN w:val="0"/>
        <w:adjustRightInd w:val="0"/>
        <w:spacing w:after="0" w:line="240" w:lineRule="auto"/>
        <w:jc w:val="center"/>
        <w:rPr>
          <w:rFonts w:ascii="Times New Roman" w:hAnsi="Times New Roman" w:cs="Times New Roman"/>
          <w:b/>
          <w:bCs/>
          <w:sz w:val="24"/>
          <w:szCs w:val="24"/>
        </w:rPr>
      </w:pPr>
    </w:p>
    <w:p w:rsidR="00DF2172" w:rsidRDefault="00DF2172" w:rsidP="00DF217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 ВВЕДЕНИИ В ДЕЙСТВИЕ</w:t>
      </w:r>
    </w:p>
    <w:p w:rsidR="00DF2172" w:rsidRDefault="00DF2172" w:rsidP="00DF217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САНИТАРНО-ЭПИДЕМИОЛОГИЧЕСКИХ ПРАВИЛ</w:t>
      </w:r>
    </w:p>
    <w:p w:rsidR="00DF2172" w:rsidRDefault="00DF2172" w:rsidP="00DF217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И НОРМАТИВОВ САНПИН 2.4.3.1186-03</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 xml:space="preserve">(в ред. </w:t>
      </w:r>
      <w:hyperlink r:id="rId4" w:history="1">
        <w:r>
          <w:rPr>
            <w:rFonts w:ascii="Times New Roman" w:hAnsi="Times New Roman" w:cs="Times New Roman"/>
            <w:color w:val="0000FF"/>
            <w:sz w:val="24"/>
            <w:szCs w:val="24"/>
          </w:rPr>
          <w:t>Изменения N 1</w:t>
        </w:r>
      </w:hyperlink>
      <w:r>
        <w:rPr>
          <w:rFonts w:ascii="Times New Roman" w:hAnsi="Times New Roman" w:cs="Times New Roman"/>
          <w:sz w:val="24"/>
          <w:szCs w:val="24"/>
        </w:rPr>
        <w:t>, утв. Постановлением Главного</w:t>
      </w:r>
      <w:proofErr w:type="gramEnd"/>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государственного санитарного врача РФ от 28.04.2007 N 24,</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hyperlink r:id="rId5" w:history="1">
        <w:r>
          <w:rPr>
            <w:rFonts w:ascii="Times New Roman" w:hAnsi="Times New Roman" w:cs="Times New Roman"/>
            <w:color w:val="0000FF"/>
            <w:sz w:val="24"/>
            <w:szCs w:val="24"/>
          </w:rPr>
          <w:t>Постановления</w:t>
        </w:r>
      </w:hyperlink>
      <w:r>
        <w:rPr>
          <w:rFonts w:ascii="Times New Roman" w:hAnsi="Times New Roman" w:cs="Times New Roman"/>
          <w:sz w:val="24"/>
          <w:szCs w:val="24"/>
        </w:rPr>
        <w:t xml:space="preserve"> Главного государственного санитарного</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врача РФ от 23.07.2008 N 45,</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hyperlink r:id="rId6" w:history="1">
        <w:r>
          <w:rPr>
            <w:rFonts w:ascii="Times New Roman" w:hAnsi="Times New Roman" w:cs="Times New Roman"/>
            <w:color w:val="0000FF"/>
            <w:sz w:val="24"/>
            <w:szCs w:val="24"/>
          </w:rPr>
          <w:t>Изменения N 2</w:t>
        </w:r>
      </w:hyperlink>
      <w:r>
        <w:rPr>
          <w:rFonts w:ascii="Times New Roman" w:hAnsi="Times New Roman" w:cs="Times New Roman"/>
          <w:sz w:val="24"/>
          <w:szCs w:val="24"/>
        </w:rPr>
        <w:t>, утв. Постановлением Главного</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государственного санитарного врача РФ от 30.09.2009 N 59,</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hyperlink r:id="rId7" w:history="1">
        <w:r>
          <w:rPr>
            <w:rFonts w:ascii="Times New Roman" w:hAnsi="Times New Roman" w:cs="Times New Roman"/>
            <w:color w:val="0000FF"/>
            <w:sz w:val="24"/>
            <w:szCs w:val="24"/>
          </w:rPr>
          <w:t>Изменений N 3</w:t>
        </w:r>
      </w:hyperlink>
      <w:r>
        <w:rPr>
          <w:rFonts w:ascii="Times New Roman" w:hAnsi="Times New Roman" w:cs="Times New Roman"/>
          <w:sz w:val="24"/>
          <w:szCs w:val="24"/>
        </w:rPr>
        <w:t>, утв. Постановлением Главного</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государственного санитарного врача РФ от 04.03.2011 N 17)</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На основании Федерального </w:t>
      </w:r>
      <w:hyperlink r:id="rId8" w:history="1">
        <w:r>
          <w:rPr>
            <w:rFonts w:ascii="Times New Roman" w:hAnsi="Times New Roman" w:cs="Times New Roman"/>
            <w:color w:val="0000FF"/>
            <w:sz w:val="24"/>
            <w:szCs w:val="24"/>
          </w:rPr>
          <w:t>закона</w:t>
        </w:r>
      </w:hyperlink>
      <w:r>
        <w:rPr>
          <w:rFonts w:ascii="Times New Roman" w:hAnsi="Times New Roman" w:cs="Times New Roman"/>
          <w:sz w:val="24"/>
          <w:szCs w:val="24"/>
        </w:rPr>
        <w:t xml:space="preserve"> "О санитарно-эпидемиологическом благополучии населения" от 30 марта 1999 г. N 52-ФЗ (Собрание законодательства Российской Федерации, 1999, N 14, ст. 1650) и "</w:t>
      </w:r>
      <w:hyperlink r:id="rId9" w:history="1">
        <w:r>
          <w:rPr>
            <w:rFonts w:ascii="Times New Roman" w:hAnsi="Times New Roman" w:cs="Times New Roman"/>
            <w:color w:val="0000FF"/>
            <w:sz w:val="24"/>
            <w:szCs w:val="24"/>
          </w:rPr>
          <w:t>Положения</w:t>
        </w:r>
      </w:hyperlink>
      <w:r>
        <w:rPr>
          <w:rFonts w:ascii="Times New Roman" w:hAnsi="Times New Roman" w:cs="Times New Roman"/>
          <w:sz w:val="24"/>
          <w:szCs w:val="24"/>
        </w:rPr>
        <w:t xml:space="preserve"> о государственном санитарно-эпидемиологическом нормировании", утвержденного Постановлением Правительства Российской Федерации от 24 июля 2000 г. N 554 (Собрание законодательства Российской Федерации, 2000, N 31, ст. 3295), постановляю:</w:t>
      </w:r>
      <w:proofErr w:type="gramEnd"/>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Ввести в действие санитарно-эпидемиологические </w:t>
      </w:r>
      <w:hyperlink w:anchor="Par49" w:history="1">
        <w:r>
          <w:rPr>
            <w:rFonts w:ascii="Times New Roman" w:hAnsi="Times New Roman" w:cs="Times New Roman"/>
            <w:color w:val="0000FF"/>
            <w:sz w:val="24"/>
            <w:szCs w:val="24"/>
          </w:rPr>
          <w:t>правила</w:t>
        </w:r>
      </w:hyperlink>
      <w:r>
        <w:rPr>
          <w:rFonts w:ascii="Times New Roman" w:hAnsi="Times New Roman" w:cs="Times New Roman"/>
          <w:sz w:val="24"/>
          <w:szCs w:val="24"/>
        </w:rPr>
        <w:t xml:space="preserve"> и нормативы "Санитарно-эпидемиологические требования к организации учебно-производственного процесса в образовательных учреждениях начального профессионального образования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2.4.3.1186-03", утвержденные Главным государственным санитарным врачом Российской Федерации 26 января 2003 года, с 20 июня 2003 года.</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Г.Г.ОНИЩЕНКО</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right"/>
        <w:outlineLvl w:val="0"/>
        <w:rPr>
          <w:rFonts w:ascii="Times New Roman" w:hAnsi="Times New Roman" w:cs="Times New Roman"/>
          <w:sz w:val="24"/>
          <w:szCs w:val="24"/>
        </w:rPr>
      </w:pPr>
      <w:r>
        <w:rPr>
          <w:rFonts w:ascii="Times New Roman" w:hAnsi="Times New Roman" w:cs="Times New Roman"/>
          <w:sz w:val="24"/>
          <w:szCs w:val="24"/>
        </w:rPr>
        <w:t>Утверждаю</w:t>
      </w:r>
    </w:p>
    <w:p w:rsidR="00DF2172" w:rsidRDefault="00DF2172" w:rsidP="00DF217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Главный государственный</w:t>
      </w:r>
    </w:p>
    <w:p w:rsidR="00DF2172" w:rsidRDefault="00DF2172" w:rsidP="00DF217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санитарный врач</w:t>
      </w:r>
    </w:p>
    <w:p w:rsidR="00DF2172" w:rsidRDefault="00DF2172" w:rsidP="00DF217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Российской Федерации,</w:t>
      </w:r>
    </w:p>
    <w:p w:rsidR="00DF2172" w:rsidRDefault="00DF2172" w:rsidP="00DF217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Первый заместитель</w:t>
      </w:r>
    </w:p>
    <w:p w:rsidR="00DF2172" w:rsidRDefault="00DF2172" w:rsidP="00DF217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Министра здравоохранения</w:t>
      </w:r>
    </w:p>
    <w:p w:rsidR="00DF2172" w:rsidRDefault="00DF2172" w:rsidP="00DF217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Российской Федерации</w:t>
      </w:r>
    </w:p>
    <w:p w:rsidR="00DF2172" w:rsidRDefault="00DF2172" w:rsidP="00DF217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Г.Г.ОНИЩЕНКО</w:t>
      </w:r>
    </w:p>
    <w:p w:rsidR="00DF2172" w:rsidRDefault="00DF2172" w:rsidP="00DF217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26.01.2003</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Дата введения: 20.06.2003</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2.4.3. УЧРЕЖДЕНИЯ</w:t>
      </w:r>
    </w:p>
    <w:p w:rsidR="00DF2172" w:rsidRDefault="00DF2172" w:rsidP="00DF217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НАЧАЛЬНОГО ПРОФЕССИОНАЛЬНОГО ОБРАЗОВАНИЯ</w:t>
      </w:r>
    </w:p>
    <w:p w:rsidR="00DF2172" w:rsidRDefault="00DF2172" w:rsidP="00DF2172">
      <w:pPr>
        <w:autoSpaceDE w:val="0"/>
        <w:autoSpaceDN w:val="0"/>
        <w:adjustRightInd w:val="0"/>
        <w:spacing w:after="0" w:line="240" w:lineRule="auto"/>
        <w:jc w:val="center"/>
        <w:rPr>
          <w:rFonts w:ascii="Times New Roman" w:hAnsi="Times New Roman" w:cs="Times New Roman"/>
          <w:b/>
          <w:bCs/>
          <w:sz w:val="24"/>
          <w:szCs w:val="24"/>
        </w:rPr>
      </w:pPr>
    </w:p>
    <w:p w:rsidR="00DF2172" w:rsidRDefault="00DF2172" w:rsidP="00DF2172">
      <w:pPr>
        <w:autoSpaceDE w:val="0"/>
        <w:autoSpaceDN w:val="0"/>
        <w:adjustRightInd w:val="0"/>
        <w:spacing w:after="0" w:line="240" w:lineRule="auto"/>
        <w:jc w:val="center"/>
        <w:rPr>
          <w:rFonts w:ascii="Times New Roman" w:hAnsi="Times New Roman" w:cs="Times New Roman"/>
          <w:b/>
          <w:bCs/>
          <w:sz w:val="24"/>
          <w:szCs w:val="24"/>
        </w:rPr>
      </w:pPr>
      <w:bookmarkStart w:id="0" w:name="Par49"/>
      <w:bookmarkEnd w:id="0"/>
      <w:r>
        <w:rPr>
          <w:rFonts w:ascii="Times New Roman" w:hAnsi="Times New Roman" w:cs="Times New Roman"/>
          <w:b/>
          <w:bCs/>
          <w:sz w:val="24"/>
          <w:szCs w:val="24"/>
        </w:rPr>
        <w:t>САНИТАРНО-ЭПИДЕМИОЛОГИЧЕСКИЕ ТРЕБОВАНИЯ</w:t>
      </w:r>
    </w:p>
    <w:p w:rsidR="00DF2172" w:rsidRDefault="00DF2172" w:rsidP="00DF217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К ОРГАНИЗАЦИИ УЧЕБНО-ПРОИЗВОДСТВЕННОГО ПРОЦЕССА</w:t>
      </w:r>
    </w:p>
    <w:p w:rsidR="00DF2172" w:rsidRDefault="00DF2172" w:rsidP="00DF217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В ОБРАЗОВАТЕЛЬНЫХ УЧРЕЖДЕНИЯХ </w:t>
      </w:r>
      <w:proofErr w:type="gramStart"/>
      <w:r>
        <w:rPr>
          <w:rFonts w:ascii="Times New Roman" w:hAnsi="Times New Roman" w:cs="Times New Roman"/>
          <w:b/>
          <w:bCs/>
          <w:sz w:val="24"/>
          <w:szCs w:val="24"/>
        </w:rPr>
        <w:t>НАЧАЛЬНОГО</w:t>
      </w:r>
      <w:proofErr w:type="gramEnd"/>
    </w:p>
    <w:p w:rsidR="00DF2172" w:rsidRDefault="00DF2172" w:rsidP="00DF217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ПРОФЕССИОНАЛЬНОГО ОБРАЗОВАНИЯ</w:t>
      </w:r>
    </w:p>
    <w:p w:rsidR="00DF2172" w:rsidRDefault="00DF2172" w:rsidP="00DF2172">
      <w:pPr>
        <w:autoSpaceDE w:val="0"/>
        <w:autoSpaceDN w:val="0"/>
        <w:adjustRightInd w:val="0"/>
        <w:spacing w:after="0" w:line="240" w:lineRule="auto"/>
        <w:jc w:val="center"/>
        <w:rPr>
          <w:rFonts w:ascii="Times New Roman" w:hAnsi="Times New Roman" w:cs="Times New Roman"/>
          <w:b/>
          <w:bCs/>
          <w:sz w:val="24"/>
          <w:szCs w:val="24"/>
        </w:rPr>
      </w:pPr>
    </w:p>
    <w:p w:rsidR="00DF2172" w:rsidRDefault="00DF2172" w:rsidP="00DF2172">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Санитарно-эпидемиологические правила и нормативы</w:t>
      </w:r>
    </w:p>
    <w:p w:rsidR="00DF2172" w:rsidRDefault="00DF2172" w:rsidP="00DF2172">
      <w:pPr>
        <w:autoSpaceDE w:val="0"/>
        <w:autoSpaceDN w:val="0"/>
        <w:adjustRightInd w:val="0"/>
        <w:spacing w:after="0" w:line="240" w:lineRule="auto"/>
        <w:jc w:val="center"/>
        <w:rPr>
          <w:rFonts w:ascii="Times New Roman" w:hAnsi="Times New Roman" w:cs="Times New Roman"/>
          <w:b/>
          <w:bCs/>
          <w:sz w:val="24"/>
          <w:szCs w:val="24"/>
        </w:rPr>
      </w:pPr>
      <w:proofErr w:type="spellStart"/>
      <w:r>
        <w:rPr>
          <w:rFonts w:ascii="Times New Roman" w:hAnsi="Times New Roman" w:cs="Times New Roman"/>
          <w:b/>
          <w:bCs/>
          <w:sz w:val="24"/>
          <w:szCs w:val="24"/>
        </w:rPr>
        <w:t>СанПиН</w:t>
      </w:r>
      <w:proofErr w:type="spellEnd"/>
      <w:r>
        <w:rPr>
          <w:rFonts w:ascii="Times New Roman" w:hAnsi="Times New Roman" w:cs="Times New Roman"/>
          <w:b/>
          <w:bCs/>
          <w:sz w:val="24"/>
          <w:szCs w:val="24"/>
        </w:rPr>
        <w:t xml:space="preserve"> 2.4.3.1186-03</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 xml:space="preserve">(в ред. </w:t>
      </w:r>
      <w:hyperlink r:id="rId10" w:history="1">
        <w:r>
          <w:rPr>
            <w:rFonts w:ascii="Times New Roman" w:hAnsi="Times New Roman" w:cs="Times New Roman"/>
            <w:color w:val="0000FF"/>
            <w:sz w:val="24"/>
            <w:szCs w:val="24"/>
          </w:rPr>
          <w:t>Изменения N 1</w:t>
        </w:r>
      </w:hyperlink>
      <w:r>
        <w:rPr>
          <w:rFonts w:ascii="Times New Roman" w:hAnsi="Times New Roman" w:cs="Times New Roman"/>
          <w:sz w:val="24"/>
          <w:szCs w:val="24"/>
        </w:rPr>
        <w:t>, утв. Постановлением Главного</w:t>
      </w:r>
      <w:proofErr w:type="gramEnd"/>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государственного санитарного врача РФ от 28.04.2007 N 24,</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hyperlink r:id="rId11" w:history="1">
        <w:r>
          <w:rPr>
            <w:rFonts w:ascii="Times New Roman" w:hAnsi="Times New Roman" w:cs="Times New Roman"/>
            <w:color w:val="0000FF"/>
            <w:sz w:val="24"/>
            <w:szCs w:val="24"/>
          </w:rPr>
          <w:t>Постановления</w:t>
        </w:r>
      </w:hyperlink>
      <w:r>
        <w:rPr>
          <w:rFonts w:ascii="Times New Roman" w:hAnsi="Times New Roman" w:cs="Times New Roman"/>
          <w:sz w:val="24"/>
          <w:szCs w:val="24"/>
        </w:rPr>
        <w:t xml:space="preserve"> Главного государственного санитарного</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врача РФ от 23.07.2008 N 45,</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hyperlink r:id="rId12" w:history="1">
        <w:r>
          <w:rPr>
            <w:rFonts w:ascii="Times New Roman" w:hAnsi="Times New Roman" w:cs="Times New Roman"/>
            <w:color w:val="0000FF"/>
            <w:sz w:val="24"/>
            <w:szCs w:val="24"/>
          </w:rPr>
          <w:t>Изменения N 2</w:t>
        </w:r>
      </w:hyperlink>
      <w:r>
        <w:rPr>
          <w:rFonts w:ascii="Times New Roman" w:hAnsi="Times New Roman" w:cs="Times New Roman"/>
          <w:sz w:val="24"/>
          <w:szCs w:val="24"/>
        </w:rPr>
        <w:t>, утв. Постановлением Главного</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государственного санитарного врача РФ от 30.09.2009 N 59,</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hyperlink r:id="rId13" w:history="1">
        <w:r>
          <w:rPr>
            <w:rFonts w:ascii="Times New Roman" w:hAnsi="Times New Roman" w:cs="Times New Roman"/>
            <w:color w:val="0000FF"/>
            <w:sz w:val="24"/>
            <w:szCs w:val="24"/>
          </w:rPr>
          <w:t>Изменений N 3</w:t>
        </w:r>
      </w:hyperlink>
      <w:r>
        <w:rPr>
          <w:rFonts w:ascii="Times New Roman" w:hAnsi="Times New Roman" w:cs="Times New Roman"/>
          <w:sz w:val="24"/>
          <w:szCs w:val="24"/>
        </w:rPr>
        <w:t>, утв. Постановлением Главного</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государственного санитарного врача РФ от 04.03.2011 N 17)</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I. Общие положения и область применения</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1.1. Настоящие санитарно-эпидемиологические правила и нормативы (далее санитарные правила) разработаны в соответствии с Федеральным законом от 30 марта 1999 г. N 52-Ф3 "О санитарно-эпидемиологическом благополучии населения", "</w:t>
      </w:r>
      <w:hyperlink r:id="rId14" w:history="1">
        <w:r>
          <w:rPr>
            <w:rFonts w:ascii="Times New Roman" w:hAnsi="Times New Roman" w:cs="Times New Roman"/>
            <w:color w:val="0000FF"/>
            <w:sz w:val="24"/>
            <w:szCs w:val="24"/>
          </w:rPr>
          <w:t>Положением</w:t>
        </w:r>
      </w:hyperlink>
      <w:r>
        <w:rPr>
          <w:rFonts w:ascii="Times New Roman" w:hAnsi="Times New Roman" w:cs="Times New Roman"/>
          <w:sz w:val="24"/>
          <w:szCs w:val="24"/>
        </w:rPr>
        <w:t xml:space="preserve"> о государственном санитарно-эпидемиологическом нормировании", утвержденным Постановлением Правительства Российской Федерации от 24 июля 2000 г. N 554.</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1.2. Санитарные правила устанавливают санитарно-эпидемиологические требования к организации учебно-производственного процесса в образовательных учреждениях начального профессионального образования независимо от форм собственности и ведомственной принадлежности.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1.3. Настоящие санитарные правила являются обязательными для исполнения всеми юридическими лицами и индивидуальными предпринимателями, деятельность которых связана с проектированием, строительством, реконструкцией, эксплуатацией учреждений начального профессионального образования, обучением и воспитанием подростков, а также для органов и учреждений, осуществляющих государственный санитарно-эпидемиологический надзор.</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1.4. Настоящие санитарные правила распространяются на все виды учреждений начального профессионального образования независимо от профиля и уровня подготовки кадров.</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II. Требования к устройству,</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содержанию, организации </w:t>
      </w:r>
      <w:proofErr w:type="gramStart"/>
      <w:r>
        <w:rPr>
          <w:rFonts w:ascii="Times New Roman" w:hAnsi="Times New Roman" w:cs="Times New Roman"/>
          <w:sz w:val="24"/>
          <w:szCs w:val="24"/>
        </w:rPr>
        <w:t>образовательного</w:t>
      </w:r>
      <w:proofErr w:type="gramEnd"/>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процесса в учреждениях начального</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профессионального образования</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Проектирование и строительство новых, реконструкция существующих (действующих) образовательных учреждений системы начального профессионального образования осуществляются с учетом требований настоящих правил.</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Временное использование зданий и сооружений под образовательные учреждения начального профессионального образования, а также ввод в эксплуатацию построенных и реконструируемых зданий допускается при наличии санитарно-эпидемиологического заключения о соответствии их санитарным правилам.</w:t>
      </w:r>
    </w:p>
    <w:p w:rsidR="00DF2172" w:rsidRDefault="00DF2172" w:rsidP="00DF2172">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2.1. Требования к земельному участку</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2.1.1. Учреждения начального профессионального образования (далее "учреждения НПО") размещаются на самостоятельном земельном участке.</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2.1.2. Размещение учреждений НПО, в том числе включая зоны отдыха, спортивные площадки и спортивные сооружения для подростков, на территориях санитарно-защитных зон не допускается.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2.1.3. Земельный участок следует отводить с учетом розы ветров, с наветренной стороны от источников шума, загрязнений атмосферного воздуха и </w:t>
      </w:r>
      <w:proofErr w:type="gramStart"/>
      <w:r>
        <w:rPr>
          <w:rFonts w:ascii="Times New Roman" w:hAnsi="Times New Roman" w:cs="Times New Roman"/>
          <w:sz w:val="24"/>
          <w:szCs w:val="24"/>
        </w:rPr>
        <w:t>соблюдения</w:t>
      </w:r>
      <w:proofErr w:type="gramEnd"/>
      <w:r>
        <w:rPr>
          <w:rFonts w:ascii="Times New Roman" w:hAnsi="Times New Roman" w:cs="Times New Roman"/>
          <w:sz w:val="24"/>
          <w:szCs w:val="24"/>
        </w:rPr>
        <w:t xml:space="preserve"> необходимых санитарно-защитных зон.</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2.1.4. Санитарные разрывы учреждений НПО от промышленных, коммунальных, сельскохозяйственных объектов, транспортных дорог и магистралей принимают в соответствии с требованиями, предъявляемыми к планировке и застройке городов, поселков и сельских населенных пунктов.</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2.1.5. Через территории учреждений НПО не должны проходить магистральные инженерные коммуникации городского (сельского) назначения (водоснабжения, канализации, теплоснабжения, электроснабжения).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2.1.6. Размеры земельных участков следует принимать в соответствии с требованиями к планировке и застройке городских и сельских поселений (табл. 1).</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right"/>
        <w:outlineLvl w:val="3"/>
        <w:rPr>
          <w:rFonts w:ascii="Times New Roman" w:hAnsi="Times New Roman" w:cs="Times New Roman"/>
          <w:sz w:val="24"/>
          <w:szCs w:val="24"/>
        </w:rPr>
      </w:pPr>
      <w:r>
        <w:rPr>
          <w:rFonts w:ascii="Times New Roman" w:hAnsi="Times New Roman" w:cs="Times New Roman"/>
          <w:sz w:val="24"/>
          <w:szCs w:val="24"/>
        </w:rPr>
        <w:t>Таблица 1</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Размеры</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земельных участков в разных видах учреждений НПО</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2880"/>
        <w:gridCol w:w="1320"/>
        <w:gridCol w:w="1320"/>
        <w:gridCol w:w="1440"/>
        <w:gridCol w:w="1440"/>
      </w:tblGrid>
      <w:tr w:rsidR="00DF2172">
        <w:tblPrEx>
          <w:tblCellMar>
            <w:top w:w="0" w:type="dxa"/>
            <w:bottom w:w="0" w:type="dxa"/>
          </w:tblCellMar>
        </w:tblPrEx>
        <w:trPr>
          <w:trHeight w:val="400"/>
          <w:tblCellSpacing w:w="5" w:type="nil"/>
        </w:trPr>
        <w:tc>
          <w:tcPr>
            <w:tcW w:w="2880" w:type="dxa"/>
            <w:tcBorders>
              <w:top w:val="single" w:sz="4" w:space="0" w:color="auto"/>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p>
        </w:tc>
        <w:tc>
          <w:tcPr>
            <w:tcW w:w="5520" w:type="dxa"/>
            <w:gridSpan w:val="4"/>
            <w:tcBorders>
              <w:top w:val="single" w:sz="4" w:space="0" w:color="auto"/>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Размеры земельных участков (га) в </w:t>
            </w:r>
            <w:proofErr w:type="spellStart"/>
            <w:r>
              <w:rPr>
                <w:rFonts w:ascii="Courier New" w:hAnsi="Courier New" w:cs="Courier New"/>
                <w:sz w:val="20"/>
                <w:szCs w:val="20"/>
              </w:rPr>
              <w:t>завис</w:t>
            </w:r>
            <w:proofErr w:type="gramStart"/>
            <w:r>
              <w:rPr>
                <w:rFonts w:ascii="Courier New" w:hAnsi="Courier New" w:cs="Courier New"/>
                <w:sz w:val="20"/>
                <w:szCs w:val="20"/>
              </w:rPr>
              <w:t>и</w:t>
            </w:r>
            <w:proofErr w:type="spellEnd"/>
            <w:r>
              <w:rPr>
                <w:rFonts w:ascii="Courier New" w:hAnsi="Courier New" w:cs="Courier New"/>
                <w:sz w:val="20"/>
                <w:szCs w:val="20"/>
              </w:rPr>
              <w:t>-</w:t>
            </w:r>
            <w:proofErr w:type="gramEnd"/>
            <w:r>
              <w:rPr>
                <w:rFonts w:ascii="Courier New" w:hAnsi="Courier New" w:cs="Courier New"/>
                <w:sz w:val="20"/>
                <w:szCs w:val="20"/>
              </w:rPr>
              <w:br/>
              <w:t xml:space="preserve">мости от количества обучающихся          </w:t>
            </w:r>
          </w:p>
        </w:tc>
      </w:tr>
      <w:tr w:rsidR="00DF2172">
        <w:tblPrEx>
          <w:tblCellMar>
            <w:top w:w="0" w:type="dxa"/>
            <w:bottom w:w="0" w:type="dxa"/>
          </w:tblCellMar>
        </w:tblPrEx>
        <w:trPr>
          <w:trHeight w:val="400"/>
          <w:tblCellSpacing w:w="5" w:type="nil"/>
        </w:trPr>
        <w:tc>
          <w:tcPr>
            <w:tcW w:w="288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Образовательные </w:t>
            </w:r>
            <w:proofErr w:type="spellStart"/>
            <w:r>
              <w:rPr>
                <w:rFonts w:ascii="Courier New" w:hAnsi="Courier New" w:cs="Courier New"/>
                <w:sz w:val="20"/>
                <w:szCs w:val="20"/>
              </w:rPr>
              <w:t>учре</w:t>
            </w:r>
            <w:proofErr w:type="gramStart"/>
            <w:r>
              <w:rPr>
                <w:rFonts w:ascii="Courier New" w:hAnsi="Courier New" w:cs="Courier New"/>
                <w:sz w:val="20"/>
                <w:szCs w:val="20"/>
              </w:rPr>
              <w:t>ж</w:t>
            </w:r>
            <w:proofErr w:type="spellEnd"/>
            <w:r>
              <w:rPr>
                <w:rFonts w:ascii="Courier New" w:hAnsi="Courier New" w:cs="Courier New"/>
                <w:sz w:val="20"/>
                <w:szCs w:val="20"/>
              </w:rPr>
              <w:t>-</w:t>
            </w:r>
            <w:proofErr w:type="gramEnd"/>
            <w:r>
              <w:rPr>
                <w:rFonts w:ascii="Courier New" w:hAnsi="Courier New" w:cs="Courier New"/>
                <w:sz w:val="20"/>
                <w:szCs w:val="20"/>
              </w:rPr>
              <w:br/>
            </w:r>
            <w:proofErr w:type="spellStart"/>
            <w:r>
              <w:rPr>
                <w:rFonts w:ascii="Courier New" w:hAnsi="Courier New" w:cs="Courier New"/>
                <w:sz w:val="20"/>
                <w:szCs w:val="20"/>
              </w:rPr>
              <w:t>дения</w:t>
            </w:r>
            <w:proofErr w:type="spellEnd"/>
            <w:r>
              <w:rPr>
                <w:rFonts w:ascii="Courier New" w:hAnsi="Courier New" w:cs="Courier New"/>
                <w:sz w:val="20"/>
                <w:szCs w:val="20"/>
              </w:rPr>
              <w:t xml:space="preserve"> НПО             </w:t>
            </w:r>
          </w:p>
        </w:tc>
        <w:tc>
          <w:tcPr>
            <w:tcW w:w="13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до 300  </w:t>
            </w:r>
            <w:r>
              <w:rPr>
                <w:rFonts w:ascii="Courier New" w:hAnsi="Courier New" w:cs="Courier New"/>
                <w:sz w:val="20"/>
                <w:szCs w:val="20"/>
              </w:rPr>
              <w:br/>
              <w:t xml:space="preserve">  чел.   </w:t>
            </w:r>
          </w:p>
        </w:tc>
        <w:tc>
          <w:tcPr>
            <w:tcW w:w="13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300 до  </w:t>
            </w:r>
            <w:r>
              <w:rPr>
                <w:rFonts w:ascii="Courier New" w:hAnsi="Courier New" w:cs="Courier New"/>
                <w:sz w:val="20"/>
                <w:szCs w:val="20"/>
              </w:rPr>
              <w:br/>
              <w:t xml:space="preserve"> 400 чел.</w:t>
            </w:r>
          </w:p>
        </w:tc>
        <w:tc>
          <w:tcPr>
            <w:tcW w:w="14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400 до 600</w:t>
            </w:r>
            <w:r>
              <w:rPr>
                <w:rFonts w:ascii="Courier New" w:hAnsi="Courier New" w:cs="Courier New"/>
                <w:sz w:val="20"/>
                <w:szCs w:val="20"/>
              </w:rPr>
              <w:br/>
              <w:t xml:space="preserve">   чел.   </w:t>
            </w:r>
          </w:p>
        </w:tc>
        <w:tc>
          <w:tcPr>
            <w:tcW w:w="14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600 - 1000</w:t>
            </w:r>
            <w:r>
              <w:rPr>
                <w:rFonts w:ascii="Courier New" w:hAnsi="Courier New" w:cs="Courier New"/>
                <w:sz w:val="20"/>
                <w:szCs w:val="20"/>
              </w:rPr>
              <w:br/>
              <w:t xml:space="preserve">   чел.   </w:t>
            </w:r>
          </w:p>
        </w:tc>
      </w:tr>
      <w:tr w:rsidR="00DF2172">
        <w:tblPrEx>
          <w:tblCellMar>
            <w:top w:w="0" w:type="dxa"/>
            <w:bottom w:w="0" w:type="dxa"/>
          </w:tblCellMar>
        </w:tblPrEx>
        <w:trPr>
          <w:trHeight w:val="400"/>
          <w:tblCellSpacing w:w="5" w:type="nil"/>
        </w:trPr>
        <w:tc>
          <w:tcPr>
            <w:tcW w:w="288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Для всех </w:t>
            </w:r>
            <w:proofErr w:type="spellStart"/>
            <w:r>
              <w:rPr>
                <w:rFonts w:ascii="Courier New" w:hAnsi="Courier New" w:cs="Courier New"/>
                <w:sz w:val="20"/>
                <w:szCs w:val="20"/>
              </w:rPr>
              <w:t>образовател</w:t>
            </w:r>
            <w:proofErr w:type="gramStart"/>
            <w:r>
              <w:rPr>
                <w:rFonts w:ascii="Courier New" w:hAnsi="Courier New" w:cs="Courier New"/>
                <w:sz w:val="20"/>
                <w:szCs w:val="20"/>
              </w:rPr>
              <w:t>ь</w:t>
            </w:r>
            <w:proofErr w:type="spellEnd"/>
            <w:r>
              <w:rPr>
                <w:rFonts w:ascii="Courier New" w:hAnsi="Courier New" w:cs="Courier New"/>
                <w:sz w:val="20"/>
                <w:szCs w:val="20"/>
              </w:rPr>
              <w:t>-</w:t>
            </w:r>
            <w:proofErr w:type="gramEnd"/>
            <w:r>
              <w:rPr>
                <w:rFonts w:ascii="Courier New" w:hAnsi="Courier New" w:cs="Courier New"/>
                <w:sz w:val="20"/>
                <w:szCs w:val="20"/>
              </w:rPr>
              <w:br/>
            </w:r>
            <w:proofErr w:type="spellStart"/>
            <w:r>
              <w:rPr>
                <w:rFonts w:ascii="Courier New" w:hAnsi="Courier New" w:cs="Courier New"/>
                <w:sz w:val="20"/>
                <w:szCs w:val="20"/>
              </w:rPr>
              <w:t>ных</w:t>
            </w:r>
            <w:proofErr w:type="spellEnd"/>
            <w:r>
              <w:rPr>
                <w:rFonts w:ascii="Courier New" w:hAnsi="Courier New" w:cs="Courier New"/>
                <w:sz w:val="20"/>
                <w:szCs w:val="20"/>
              </w:rPr>
              <w:t xml:space="preserve"> учреждений        </w:t>
            </w:r>
          </w:p>
        </w:tc>
        <w:tc>
          <w:tcPr>
            <w:tcW w:w="13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br/>
              <w:t xml:space="preserve">    2    </w:t>
            </w:r>
          </w:p>
        </w:tc>
        <w:tc>
          <w:tcPr>
            <w:tcW w:w="13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br/>
              <w:t xml:space="preserve">   2,4   </w:t>
            </w:r>
          </w:p>
        </w:tc>
        <w:tc>
          <w:tcPr>
            <w:tcW w:w="14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br/>
              <w:t xml:space="preserve">   3,1    </w:t>
            </w:r>
          </w:p>
        </w:tc>
        <w:tc>
          <w:tcPr>
            <w:tcW w:w="14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br/>
              <w:t xml:space="preserve">   3,7    </w:t>
            </w:r>
          </w:p>
        </w:tc>
      </w:tr>
      <w:tr w:rsidR="00DF2172">
        <w:tblPrEx>
          <w:tblCellMar>
            <w:top w:w="0" w:type="dxa"/>
            <w:bottom w:w="0" w:type="dxa"/>
          </w:tblCellMar>
        </w:tblPrEx>
        <w:trPr>
          <w:trHeight w:val="400"/>
          <w:tblCellSpacing w:w="5" w:type="nil"/>
        </w:trPr>
        <w:tc>
          <w:tcPr>
            <w:tcW w:w="288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Сельскохозяйственного </w:t>
            </w:r>
            <w:r>
              <w:rPr>
                <w:rFonts w:ascii="Courier New" w:hAnsi="Courier New" w:cs="Courier New"/>
                <w:sz w:val="20"/>
                <w:szCs w:val="20"/>
              </w:rPr>
              <w:br/>
              <w:t xml:space="preserve">профиля &lt;*&gt;           </w:t>
            </w:r>
          </w:p>
        </w:tc>
        <w:tc>
          <w:tcPr>
            <w:tcW w:w="13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br/>
              <w:t xml:space="preserve">   2 - 3 </w:t>
            </w:r>
          </w:p>
        </w:tc>
        <w:tc>
          <w:tcPr>
            <w:tcW w:w="13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br/>
              <w:t>2,4 - 3,6</w:t>
            </w:r>
          </w:p>
        </w:tc>
        <w:tc>
          <w:tcPr>
            <w:tcW w:w="14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br/>
              <w:t xml:space="preserve"> 3,1 - 4,2</w:t>
            </w:r>
          </w:p>
        </w:tc>
        <w:tc>
          <w:tcPr>
            <w:tcW w:w="14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br/>
              <w:t xml:space="preserve"> 3,7 - 4,6</w:t>
            </w:r>
          </w:p>
        </w:tc>
      </w:tr>
      <w:tr w:rsidR="00DF2172">
        <w:tblPrEx>
          <w:tblCellMar>
            <w:top w:w="0" w:type="dxa"/>
            <w:bottom w:w="0" w:type="dxa"/>
          </w:tblCellMar>
        </w:tblPrEx>
        <w:trPr>
          <w:trHeight w:val="400"/>
          <w:tblCellSpacing w:w="5" w:type="nil"/>
        </w:trPr>
        <w:tc>
          <w:tcPr>
            <w:tcW w:w="288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proofErr w:type="gramStart"/>
            <w:r>
              <w:rPr>
                <w:rFonts w:ascii="Courier New" w:hAnsi="Courier New" w:cs="Courier New"/>
                <w:sz w:val="20"/>
                <w:szCs w:val="20"/>
              </w:rPr>
              <w:t xml:space="preserve">Размещаемых в районах </w:t>
            </w:r>
            <w:r>
              <w:rPr>
                <w:rFonts w:ascii="Courier New" w:hAnsi="Courier New" w:cs="Courier New"/>
                <w:sz w:val="20"/>
                <w:szCs w:val="20"/>
              </w:rPr>
              <w:br/>
              <w:t xml:space="preserve">реконструкции &lt;**&gt;    </w:t>
            </w:r>
            <w:proofErr w:type="gramEnd"/>
          </w:p>
        </w:tc>
        <w:tc>
          <w:tcPr>
            <w:tcW w:w="13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br/>
              <w:t xml:space="preserve">    1,2  </w:t>
            </w:r>
          </w:p>
        </w:tc>
        <w:tc>
          <w:tcPr>
            <w:tcW w:w="13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br/>
              <w:t>1,2 - 2,4</w:t>
            </w:r>
          </w:p>
        </w:tc>
        <w:tc>
          <w:tcPr>
            <w:tcW w:w="14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br/>
              <w:t xml:space="preserve"> 1,5 - 3,1</w:t>
            </w:r>
          </w:p>
        </w:tc>
        <w:tc>
          <w:tcPr>
            <w:tcW w:w="14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br/>
              <w:t xml:space="preserve"> 1,9 - 3,7</w:t>
            </w:r>
          </w:p>
        </w:tc>
      </w:tr>
      <w:tr w:rsidR="00DF2172">
        <w:tblPrEx>
          <w:tblCellMar>
            <w:top w:w="0" w:type="dxa"/>
            <w:bottom w:w="0" w:type="dxa"/>
          </w:tblCellMar>
        </w:tblPrEx>
        <w:trPr>
          <w:trHeight w:val="400"/>
          <w:tblCellSpacing w:w="5" w:type="nil"/>
        </w:trPr>
        <w:tc>
          <w:tcPr>
            <w:tcW w:w="288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Гуманитарного профиля </w:t>
            </w:r>
            <w:r>
              <w:rPr>
                <w:rFonts w:ascii="Courier New" w:hAnsi="Courier New" w:cs="Courier New"/>
                <w:sz w:val="20"/>
                <w:szCs w:val="20"/>
              </w:rPr>
              <w:br/>
              <w:t xml:space="preserve">&lt;***&gt;                 </w:t>
            </w:r>
          </w:p>
        </w:tc>
        <w:tc>
          <w:tcPr>
            <w:tcW w:w="13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br/>
              <w:t xml:space="preserve"> 1,4 - 2 </w:t>
            </w:r>
          </w:p>
        </w:tc>
        <w:tc>
          <w:tcPr>
            <w:tcW w:w="13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br/>
              <w:t>1,7 - 2,4</w:t>
            </w:r>
          </w:p>
        </w:tc>
        <w:tc>
          <w:tcPr>
            <w:tcW w:w="14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br/>
              <w:t xml:space="preserve"> 2,2 - 3,1</w:t>
            </w:r>
          </w:p>
        </w:tc>
        <w:tc>
          <w:tcPr>
            <w:tcW w:w="14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br/>
              <w:t xml:space="preserve"> 2,6 - 3,7</w:t>
            </w:r>
          </w:p>
        </w:tc>
      </w:tr>
    </w:tbl>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&lt;*&gt; Допускается увеличение, но не более чем на 50%.</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&lt;**&gt; Допускается сокращать, но не более чем на 50%.</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&lt;***&gt; Допускается сокращать, но не более чем на 30%.</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Примечание. В указанные размеры участков не входят участки общежитий, опытных полей и учебных полигонов.</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2.1.7. На земельном участке следует предусматривать следующие зоны: </w:t>
      </w:r>
      <w:proofErr w:type="gramStart"/>
      <w:r>
        <w:rPr>
          <w:rFonts w:ascii="Times New Roman" w:hAnsi="Times New Roman" w:cs="Times New Roman"/>
          <w:sz w:val="24"/>
          <w:szCs w:val="24"/>
        </w:rPr>
        <w:t>учебную</w:t>
      </w:r>
      <w:proofErr w:type="gramEnd"/>
      <w:r>
        <w:rPr>
          <w:rFonts w:ascii="Times New Roman" w:hAnsi="Times New Roman" w:cs="Times New Roman"/>
          <w:sz w:val="24"/>
          <w:szCs w:val="24"/>
        </w:rPr>
        <w:t>, производственную, спортивную, хозяйственную, а при наличии общежития для обучающихся - жилую.</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2.1.8. Общежитие целесообразно размещать на едином участке с учебным корпусом.</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2.1.9. Хозяйственная зона должна быть изолирована от других зон участка, размещаться со стороны входа в производственные помещения и иметь самостоятельный выезд на улицу.</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2.1.10. В учреждениях НПО сельскохозяйственного и других профилей, связанных с освоением транспортных средств, следует предусматривать зону учебного хозяйства вне основного участка для размещения зданий и сооружений для ремонта, испытания и обслуживания транспортных средств.</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2.1.11. В учреждениях НПО строительного профиля, автомобильного, железнодорожного, водного транспорта, добывающей промышленности, сельского хозяйства следует организовывать учебные полигоны на участках или вблизи от них (не более 30 минут пешеходной доступности). Площадь учебных полигонов в нормируемый размер участка не входит и определяется технологическими требованиями.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2.1.12. Площадь озеленения земельного участка должна составлять не менее 50% площади участка. Во избежание затенения деревья следует высаживать на расстоянии не менее 15 м, а кустарники - не менее 5 м от окон учебных помещений.</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2.1.13. Учебные здания размещают с отступом от красной линии не менее 25 м в городах и 10 м - в сельских поселках.</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2.1.14. Все подъезды и подходы к зданию в пределах участка, территории хозяйственного двора асфальтируют или обеспечивают другое твердое покрытие.</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2.1.15. Участок имеет ограждение высотой не менее 1,2 м. В вечернее время на территории участка обеспечивается искусственное освещение 10 люкс на земле.</w:t>
      </w:r>
    </w:p>
    <w:p w:rsidR="00DF2172" w:rsidRDefault="00DF2172" w:rsidP="00DF2172">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2.2. Требования к объемно-планировочным и конструктивным решениям зданий, сооружений и отдельных помещений</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Количество обучающихся в учреждениях начального профессионального образования не должно превышать вместимости, предусмотренной проектом, по которому построено или приспособлено здание.</w:t>
      </w:r>
      <w:proofErr w:type="gramEnd"/>
      <w:r>
        <w:rPr>
          <w:rFonts w:ascii="Times New Roman" w:hAnsi="Times New Roman" w:cs="Times New Roman"/>
          <w:sz w:val="24"/>
          <w:szCs w:val="24"/>
        </w:rPr>
        <w:t xml:space="preserve"> Максимальная вместимость допускается не более 1000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В соответствии с гигиеническими требованиями к условиям обучения наполняемость учебной группы не должна превышать 25 человек.</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Учебные здания предусматривают высоту не более 4-х этажей и имеют следующие группы помещений: общеобразовательного цикла (учебные кабинеты, лаборатории химии, физики, биологии и др.), профессиональной подготовки, спортивные и актовые залы, библиотеку, административно-служебные, складские и вспомогательные, общежитие и столовую.</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Состав и площади помещений должны соответствовать требованиям настоящих санитарных правил и обеспечивать условия для подготовки обучающихся по предметам общеобразовательных и профессиональных программ подготовки, практического освоения ими профессиональных навыков, в том числе и при дополнительном введении новых профилей профессионального образования.</w:t>
      </w:r>
    </w:p>
    <w:p w:rsidR="00DF2172" w:rsidRDefault="00DF2172" w:rsidP="00DF217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ред. </w:t>
      </w:r>
      <w:hyperlink r:id="rId15" w:history="1">
        <w:r>
          <w:rPr>
            <w:rFonts w:ascii="Times New Roman" w:hAnsi="Times New Roman" w:cs="Times New Roman"/>
            <w:color w:val="0000FF"/>
            <w:sz w:val="24"/>
            <w:szCs w:val="24"/>
          </w:rPr>
          <w:t>Изменения N 2</w:t>
        </w:r>
      </w:hyperlink>
      <w:r>
        <w:rPr>
          <w:rFonts w:ascii="Times New Roman" w:hAnsi="Times New Roman" w:cs="Times New Roman"/>
          <w:sz w:val="24"/>
          <w:szCs w:val="24"/>
        </w:rPr>
        <w:t>, утв. Постановлением Главного государственного санитарного врача РФ от 30.09.2009 N 59)</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 размещении учебного заведения в приспособленном здании набор помещений, их площадь определяют, исходя из числа учащихся, необходимости организации учебного процесса по общеобразовательным и профильным предметам, практической подготовки по специальности.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Взаимное расположение отдельных групп помещений обеспечивает удобную функциональную связь между собой и зонами участка, создает оптимальные условия для организации учебного процесса и отдыха. Учебные помещения изолируют от учебно-производственных мастерских и спортивного зала.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Учебно-производственные помещения, спортзал и столовую следует выделять в отдельные блоки, связанные переходом с основным корпусом.</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Учебные помещения, лаборатории, мастерские, столовые, буфеты и медицинские кабинеты не следует размещать в подвальных и цокольных этажах зданий.</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2.2.1. Учебные помещения общеобразовательного цикла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2.2.1.1. Состав учебных помещений включает следующие основные группы: кабинеты и лаборатории общеобразовательного цикла, групповые и лекционно-поточные аудитории, кабинет информатики и ЭВТ.</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2.2.1.2. Площади учебных помещений должны соответствовать требованиям, предъявляемым к общественным зданиям и сооружениям (табл. 2).</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right"/>
        <w:outlineLvl w:val="3"/>
        <w:rPr>
          <w:rFonts w:ascii="Times New Roman" w:hAnsi="Times New Roman" w:cs="Times New Roman"/>
          <w:sz w:val="24"/>
          <w:szCs w:val="24"/>
        </w:rPr>
      </w:pPr>
      <w:bookmarkStart w:id="1" w:name="Par143"/>
      <w:bookmarkEnd w:id="1"/>
      <w:r>
        <w:rPr>
          <w:rFonts w:ascii="Times New Roman" w:hAnsi="Times New Roman" w:cs="Times New Roman"/>
          <w:sz w:val="24"/>
          <w:szCs w:val="24"/>
        </w:rPr>
        <w:t>Таблица 2</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Площади</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основных учебных помещений</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4920"/>
        <w:gridCol w:w="3120"/>
      </w:tblGrid>
      <w:tr w:rsidR="00DF2172">
        <w:tblPrEx>
          <w:tblCellMar>
            <w:top w:w="0" w:type="dxa"/>
            <w:bottom w:w="0" w:type="dxa"/>
          </w:tblCellMar>
        </w:tblPrEx>
        <w:trPr>
          <w:trHeight w:val="600"/>
          <w:tblCellSpacing w:w="5" w:type="nil"/>
        </w:trPr>
        <w:tc>
          <w:tcPr>
            <w:tcW w:w="4920" w:type="dxa"/>
            <w:tcBorders>
              <w:top w:val="single" w:sz="4" w:space="0" w:color="auto"/>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Помещения                 </w:t>
            </w:r>
          </w:p>
        </w:tc>
        <w:tc>
          <w:tcPr>
            <w:tcW w:w="3120" w:type="dxa"/>
            <w:tcBorders>
              <w:top w:val="single" w:sz="4" w:space="0" w:color="auto"/>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Площадь, м</w:t>
            </w:r>
            <w:proofErr w:type="gramStart"/>
            <w:r>
              <w:rPr>
                <w:rFonts w:ascii="Courier New" w:hAnsi="Courier New" w:cs="Courier New"/>
                <w:sz w:val="20"/>
                <w:szCs w:val="20"/>
              </w:rPr>
              <w:t>2</w:t>
            </w:r>
            <w:proofErr w:type="gramEnd"/>
            <w:r>
              <w:rPr>
                <w:rFonts w:ascii="Courier New" w:hAnsi="Courier New" w:cs="Courier New"/>
                <w:sz w:val="20"/>
                <w:szCs w:val="20"/>
              </w:rPr>
              <w:t xml:space="preserve">      </w:t>
            </w:r>
            <w:r>
              <w:rPr>
                <w:rFonts w:ascii="Courier New" w:hAnsi="Courier New" w:cs="Courier New"/>
                <w:sz w:val="20"/>
                <w:szCs w:val="20"/>
              </w:rPr>
              <w:br/>
              <w:t xml:space="preserve">   на 1 обучающегося    </w:t>
            </w:r>
            <w:r>
              <w:rPr>
                <w:rFonts w:ascii="Courier New" w:hAnsi="Courier New" w:cs="Courier New"/>
                <w:sz w:val="20"/>
                <w:szCs w:val="20"/>
              </w:rPr>
              <w:br/>
              <w:t xml:space="preserve">       (не менее)       </w:t>
            </w:r>
          </w:p>
        </w:tc>
      </w:tr>
      <w:tr w:rsidR="00DF2172">
        <w:tblPrEx>
          <w:tblCellMar>
            <w:top w:w="0" w:type="dxa"/>
            <w:bottom w:w="0" w:type="dxa"/>
          </w:tblCellMar>
        </w:tblPrEx>
        <w:trPr>
          <w:trHeight w:val="400"/>
          <w:tblCellSpacing w:w="5" w:type="nil"/>
        </w:trPr>
        <w:tc>
          <w:tcPr>
            <w:tcW w:w="49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Учебные кабинеты общеобразовательного  </w:t>
            </w:r>
            <w:r>
              <w:rPr>
                <w:rFonts w:ascii="Courier New" w:hAnsi="Courier New" w:cs="Courier New"/>
                <w:sz w:val="20"/>
                <w:szCs w:val="20"/>
              </w:rPr>
              <w:br/>
              <w:t xml:space="preserve">цикла                                  </w:t>
            </w:r>
          </w:p>
        </w:tc>
        <w:tc>
          <w:tcPr>
            <w:tcW w:w="31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br/>
              <w:t xml:space="preserve">          2,5           </w:t>
            </w:r>
          </w:p>
        </w:tc>
      </w:tr>
      <w:tr w:rsidR="00DF2172">
        <w:tblPrEx>
          <w:tblCellMar>
            <w:top w:w="0" w:type="dxa"/>
            <w:bottom w:w="0" w:type="dxa"/>
          </w:tblCellMar>
        </w:tblPrEx>
        <w:trPr>
          <w:tblCellSpacing w:w="5" w:type="nil"/>
        </w:trPr>
        <w:tc>
          <w:tcPr>
            <w:tcW w:w="49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Лаборатории по естественным дисциплинам</w:t>
            </w:r>
          </w:p>
        </w:tc>
        <w:tc>
          <w:tcPr>
            <w:tcW w:w="31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2,4           </w:t>
            </w:r>
          </w:p>
        </w:tc>
      </w:tr>
      <w:tr w:rsidR="00DF2172">
        <w:tblPrEx>
          <w:tblCellMar>
            <w:top w:w="0" w:type="dxa"/>
            <w:bottom w:w="0" w:type="dxa"/>
          </w:tblCellMar>
        </w:tblPrEx>
        <w:trPr>
          <w:trHeight w:val="400"/>
          <w:tblCellSpacing w:w="5" w:type="nil"/>
        </w:trPr>
        <w:tc>
          <w:tcPr>
            <w:tcW w:w="49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Лаборатории и кабинеты профессионально-</w:t>
            </w:r>
            <w:r>
              <w:rPr>
                <w:rFonts w:ascii="Courier New" w:hAnsi="Courier New" w:cs="Courier New"/>
                <w:sz w:val="20"/>
                <w:szCs w:val="20"/>
              </w:rPr>
              <w:br/>
              <w:t xml:space="preserve">технических и специальных дисциплин    </w:t>
            </w:r>
          </w:p>
        </w:tc>
        <w:tc>
          <w:tcPr>
            <w:tcW w:w="31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br/>
              <w:t xml:space="preserve">          2,4 &lt;*&gt;       </w:t>
            </w:r>
          </w:p>
        </w:tc>
      </w:tr>
      <w:tr w:rsidR="00DF2172">
        <w:tblPrEx>
          <w:tblCellMar>
            <w:top w:w="0" w:type="dxa"/>
            <w:bottom w:w="0" w:type="dxa"/>
          </w:tblCellMar>
        </w:tblPrEx>
        <w:trPr>
          <w:trHeight w:val="400"/>
          <w:tblCellSpacing w:w="5" w:type="nil"/>
        </w:trPr>
        <w:tc>
          <w:tcPr>
            <w:tcW w:w="49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Кабинет информатики и вычислительной   </w:t>
            </w:r>
            <w:r>
              <w:rPr>
                <w:rFonts w:ascii="Courier New" w:hAnsi="Courier New" w:cs="Courier New"/>
                <w:sz w:val="20"/>
                <w:szCs w:val="20"/>
              </w:rPr>
              <w:br/>
              <w:t xml:space="preserve">техники                                </w:t>
            </w:r>
          </w:p>
        </w:tc>
        <w:tc>
          <w:tcPr>
            <w:tcW w:w="31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6 (на 1 рабочее    </w:t>
            </w:r>
            <w:r>
              <w:rPr>
                <w:rFonts w:ascii="Courier New" w:hAnsi="Courier New" w:cs="Courier New"/>
                <w:sz w:val="20"/>
                <w:szCs w:val="20"/>
              </w:rPr>
              <w:br/>
              <w:t xml:space="preserve">     место у дисплея)   </w:t>
            </w:r>
          </w:p>
        </w:tc>
      </w:tr>
      <w:tr w:rsidR="00DF2172">
        <w:tblPrEx>
          <w:tblCellMar>
            <w:top w:w="0" w:type="dxa"/>
            <w:bottom w:w="0" w:type="dxa"/>
          </w:tblCellMar>
        </w:tblPrEx>
        <w:trPr>
          <w:tblCellSpacing w:w="5" w:type="nil"/>
        </w:trPr>
        <w:tc>
          <w:tcPr>
            <w:tcW w:w="49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Лингафонные кабинеты                   </w:t>
            </w:r>
          </w:p>
        </w:tc>
        <w:tc>
          <w:tcPr>
            <w:tcW w:w="31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2,4           </w:t>
            </w:r>
          </w:p>
        </w:tc>
      </w:tr>
      <w:tr w:rsidR="00DF2172">
        <w:tblPrEx>
          <w:tblCellMar>
            <w:top w:w="0" w:type="dxa"/>
            <w:bottom w:w="0" w:type="dxa"/>
          </w:tblCellMar>
        </w:tblPrEx>
        <w:trPr>
          <w:trHeight w:val="400"/>
          <w:tblCellSpacing w:w="5" w:type="nil"/>
        </w:trPr>
        <w:tc>
          <w:tcPr>
            <w:tcW w:w="49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Кабинеты черчения, курсового и дипло</w:t>
            </w:r>
            <w:proofErr w:type="gramStart"/>
            <w:r>
              <w:rPr>
                <w:rFonts w:ascii="Courier New" w:hAnsi="Courier New" w:cs="Courier New"/>
                <w:sz w:val="20"/>
                <w:szCs w:val="20"/>
              </w:rPr>
              <w:t>м-</w:t>
            </w:r>
            <w:proofErr w:type="gram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ного</w:t>
            </w:r>
            <w:proofErr w:type="spellEnd"/>
            <w:r>
              <w:rPr>
                <w:rFonts w:ascii="Courier New" w:hAnsi="Courier New" w:cs="Courier New"/>
                <w:sz w:val="20"/>
                <w:szCs w:val="20"/>
              </w:rPr>
              <w:t xml:space="preserve"> проектирования                    </w:t>
            </w:r>
          </w:p>
        </w:tc>
        <w:tc>
          <w:tcPr>
            <w:tcW w:w="31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br/>
              <w:t xml:space="preserve">          2,4           </w:t>
            </w:r>
          </w:p>
        </w:tc>
      </w:tr>
    </w:tbl>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&lt;*&gt; В общую площадь кабинетов необходимо дополнительно включать площадь для размещения технологического оборудования по профилю обучения.</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2.2.1.3. Учебные помещения включают: рабочую зону (размещение учебных столов для учащихся), рабочую зону учителя, дополнительное пространство для размещения учебно-наглядных пособий, технических средств обучения (ТСО).</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зоне обучающихся устанавливают двухместные ученические лабораторные столы (с надстройкой и без нее); с подводкой электроэнергии (лаборатория физики); подводкой воды, сжатого воздуха и газа (лаборатория химии) с учетом требований организации учебного процесса. Лабораторию химии оборудуют вытяжными шкафами, которые располагают у торцевой стены возле стола преподавателя.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2.2.2. Помещения профессионального цикла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2.2.2.1. Помещения профессионального цикла включают помещения, предназначенные для изучения специальных предметов по выбранному профилю подготовки, учебные лаборатории, кабинеты-лаборатории </w:t>
      </w:r>
      <w:hyperlink w:anchor="Par143" w:history="1">
        <w:r>
          <w:rPr>
            <w:rFonts w:ascii="Times New Roman" w:hAnsi="Times New Roman" w:cs="Times New Roman"/>
            <w:color w:val="0000FF"/>
            <w:sz w:val="24"/>
            <w:szCs w:val="24"/>
          </w:rPr>
          <w:t>(табл. 2)</w:t>
        </w:r>
      </w:hyperlink>
      <w:r>
        <w:rPr>
          <w:rFonts w:ascii="Times New Roman" w:hAnsi="Times New Roman" w:cs="Times New Roman"/>
          <w:sz w:val="24"/>
          <w:szCs w:val="24"/>
        </w:rPr>
        <w:t>, учебно-производственные мастерские.</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2.2.2.2. В зависимости от вместимости училища предусматривают лекционные поточные аудитории на 2 - 4 группы, площадь которых принимается из расчета 1,2 м</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на 1 место. Поточные аудитории не должны иметь длину более 10 м.</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2.2.2.3. Высота учебных помещений теоретического цикла от пола до потолка составляет не менее 3,3 м, лабораторий с крупным оборудованием - 4,2 м.</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2.2.2.4. Кабинеты профессионального цикла имеют дополнительную площадь для экспозиции громоздкого оборудования (узлы, макеты, модели, тренажеры, </w:t>
      </w:r>
      <w:proofErr w:type="spellStart"/>
      <w:proofErr w:type="gramStart"/>
      <w:r>
        <w:rPr>
          <w:rFonts w:ascii="Times New Roman" w:hAnsi="Times New Roman" w:cs="Times New Roman"/>
          <w:sz w:val="24"/>
          <w:szCs w:val="24"/>
        </w:rPr>
        <w:t>миниатюр-полигоны</w:t>
      </w:r>
      <w:proofErr w:type="spellEnd"/>
      <w:proofErr w:type="gramEnd"/>
      <w:r>
        <w:rPr>
          <w:rFonts w:ascii="Times New Roman" w:hAnsi="Times New Roman" w:cs="Times New Roman"/>
          <w:sz w:val="24"/>
          <w:szCs w:val="24"/>
        </w:rPr>
        <w:t>, образцы и пр.).</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2.2.2.5. При продольной конфигурации учебного помещения зону экспозиции оборудования располагают у задней торцевой стены, при квадратной или поперечной конфигурации - у боковой стены, противоположной оконным проемам.</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2.2.2.6. Лаборатории и кабинеты по специальным предметам (испытания материалов, </w:t>
      </w:r>
      <w:proofErr w:type="spellStart"/>
      <w:r>
        <w:rPr>
          <w:rFonts w:ascii="Times New Roman" w:hAnsi="Times New Roman" w:cs="Times New Roman"/>
          <w:sz w:val="24"/>
          <w:szCs w:val="24"/>
        </w:rPr>
        <w:t>спецтехнологии</w:t>
      </w:r>
      <w:proofErr w:type="spellEnd"/>
      <w:r>
        <w:rPr>
          <w:rFonts w:ascii="Times New Roman" w:hAnsi="Times New Roman" w:cs="Times New Roman"/>
          <w:sz w:val="24"/>
          <w:szCs w:val="24"/>
        </w:rPr>
        <w:t xml:space="preserve"> и материаловедения, подземно-транспортного оборудования, электроники и полупроводниковых приборов, строительных машин и др.) должны иметь площадь 83 - 88 м</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а для кабинетов с крупным оборудованием - 98 - 108 м2.</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2.2.2.7. При каждой лаборатории или двух однородных лабораториях и двух смежных учебных кабинетах оборудуют лаборантскую площадью не менее 15 м</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2.2.2.8. Площади учебно-производственных мастерских принимают из расчета на 1 место в зависимости от их вместимости (на 15 и 25 человек): слесарная - соответственно 5,4 и 4,5 м</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слесарно-инструментальная - 7,2 и 6,0 м2, слесарно-сборочная - 8,0 и 7,2 м2, токарная, фрезерная, механическая - 12,0 и 10,8 м2, электрогазосварочная - 12,0 и 9,6 м2, электросварочная - 9,0 и 7,5 м2, электромонтажная - 6,0 и 4,0 м2, механическая по обработке дерева - 12,0 и 10,0 м</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слесарей-монтажников крупногабаритного оборудования и трубопроводов - 10,0 и 8,0 м2.</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2.2.2.9. Монтажные учебные мастерские имеют монтажные кабины размером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м; мастерские, где проводится </w:t>
      </w:r>
      <w:proofErr w:type="spellStart"/>
      <w:r>
        <w:rPr>
          <w:rFonts w:ascii="Times New Roman" w:hAnsi="Times New Roman" w:cs="Times New Roman"/>
          <w:sz w:val="24"/>
          <w:szCs w:val="24"/>
        </w:rPr>
        <w:t>электро</w:t>
      </w:r>
      <w:proofErr w:type="spellEnd"/>
      <w:r>
        <w:rPr>
          <w:rFonts w:ascii="Times New Roman" w:hAnsi="Times New Roman" w:cs="Times New Roman"/>
          <w:sz w:val="24"/>
          <w:szCs w:val="24"/>
        </w:rPr>
        <w:t>- и газосварка, кабины площадью 4 м</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каждая с передвижными боковыми перегородками высотой 2 м.</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2.2.2.10. Мастерские для сварочных работ, монтажные мастерские, в которых проводится рубка и резка металла, а также мастерские и лаборатории с крупногабаритным и тяжелым оборудованием, с крупногабаритными </w:t>
      </w:r>
      <w:proofErr w:type="spellStart"/>
      <w:r>
        <w:rPr>
          <w:rFonts w:ascii="Times New Roman" w:hAnsi="Times New Roman" w:cs="Times New Roman"/>
          <w:sz w:val="24"/>
          <w:szCs w:val="24"/>
        </w:rPr>
        <w:t>материалоемкими</w:t>
      </w:r>
      <w:proofErr w:type="spellEnd"/>
      <w:r>
        <w:rPr>
          <w:rFonts w:ascii="Times New Roman" w:hAnsi="Times New Roman" w:cs="Times New Roman"/>
          <w:sz w:val="24"/>
          <w:szCs w:val="24"/>
        </w:rPr>
        <w:t xml:space="preserve"> объектами работ изолируют от других мастерских, располагают на 1-м этаже. При сварочной мастерской организуют лабораторию для контроля и механических испытаний сварочных швов.</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2.2.2.11. </w:t>
      </w:r>
      <w:proofErr w:type="gramStart"/>
      <w:r>
        <w:rPr>
          <w:rFonts w:ascii="Times New Roman" w:hAnsi="Times New Roman" w:cs="Times New Roman"/>
          <w:sz w:val="24"/>
          <w:szCs w:val="24"/>
        </w:rPr>
        <w:t>Состав и площади учебно-производственных помещений, помимо указанных выше, следует принимать по нормам технологического проектирования организаций соответствующих отраслей промышленности и других отраслей экономики с учетом дополнительного выделения площади для установки оборудования, применяемого для учебных целей.</w:t>
      </w:r>
      <w:proofErr w:type="gramEnd"/>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2.2.2.12. В зависимости от профиля учреждений НПО учебно-производственные мастерские имеют склады или помещения для хранения инструментов, инвентаря, заготовок, сырья и готовой продукции.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2.2.2.13. Инструментально-раздаточная кладовая имеет площадь из расчета 0,05 м</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на 1 обучающегося, но не менее 15 м2.</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2.2.2.14. Отдел технического контроля имеет площадь 0,04 м</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на 1 обучающегося.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2.2.2.15. Складские помещения следует принимать длиной не менее 6 м и площадью из расчета 0,2 - 0,3 м</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на 1 станочное место.</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2.2.2.16. Следует предусмотреть ремонтную мастерскую, санитарно-бытовой блок с гардеробами, душевыми и умывальниками.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2.2.2.17. Лаборатории и мастерские не следует размещать в подвалах и цокольных этажах, а также над учебными помещениями.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2.2.3. Требования к оборудованию</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2.2.3.1. Рабочее место обучающегося в классах, кабинетах и лабораториях оборудуют столами и стульями с учетом длины тела (в обуви) в зависимости от назначения учебного помещения. Не следует в учебных кабинетах и лабораториях использовать скамейки, табуретки, стулья без спинок. Размеры мебели приведены в табл. 3.</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right"/>
        <w:outlineLvl w:val="3"/>
        <w:rPr>
          <w:rFonts w:ascii="Times New Roman" w:hAnsi="Times New Roman" w:cs="Times New Roman"/>
          <w:sz w:val="24"/>
          <w:szCs w:val="24"/>
        </w:rPr>
      </w:pPr>
      <w:r>
        <w:rPr>
          <w:rFonts w:ascii="Times New Roman" w:hAnsi="Times New Roman" w:cs="Times New Roman"/>
          <w:sz w:val="24"/>
          <w:szCs w:val="24"/>
        </w:rPr>
        <w:t>Таблица 3</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Размеры</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мебели и ее маркировка по ГОСТ</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"Столы ученические" и "Стулья ученические"</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1320"/>
        <w:gridCol w:w="1680"/>
        <w:gridCol w:w="2160"/>
        <w:gridCol w:w="1920"/>
        <w:gridCol w:w="1320"/>
      </w:tblGrid>
      <w:tr w:rsidR="00DF2172">
        <w:tblPrEx>
          <w:tblCellMar>
            <w:top w:w="0" w:type="dxa"/>
            <w:bottom w:w="0" w:type="dxa"/>
          </w:tblCellMar>
        </w:tblPrEx>
        <w:trPr>
          <w:trHeight w:val="1200"/>
          <w:tblCellSpacing w:w="5" w:type="nil"/>
        </w:trPr>
        <w:tc>
          <w:tcPr>
            <w:tcW w:w="1320" w:type="dxa"/>
            <w:tcBorders>
              <w:top w:val="single" w:sz="4" w:space="0" w:color="auto"/>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lastRenderedPageBreak/>
              <w:t xml:space="preserve"> Номера  </w:t>
            </w:r>
            <w:r>
              <w:rPr>
                <w:rFonts w:ascii="Courier New" w:hAnsi="Courier New" w:cs="Courier New"/>
                <w:sz w:val="20"/>
                <w:szCs w:val="20"/>
              </w:rPr>
              <w:br/>
              <w:t xml:space="preserve"> мебели  </w:t>
            </w:r>
            <w:r>
              <w:rPr>
                <w:rFonts w:ascii="Courier New" w:hAnsi="Courier New" w:cs="Courier New"/>
                <w:sz w:val="20"/>
                <w:szCs w:val="20"/>
              </w:rPr>
              <w:br/>
              <w:t xml:space="preserve">по </w:t>
            </w:r>
            <w:proofErr w:type="spellStart"/>
            <w:r>
              <w:rPr>
                <w:rFonts w:ascii="Courier New" w:hAnsi="Courier New" w:cs="Courier New"/>
                <w:sz w:val="20"/>
                <w:szCs w:val="20"/>
              </w:rPr>
              <w:t>ГОСТам</w:t>
            </w:r>
            <w:proofErr w:type="spellEnd"/>
            <w:r>
              <w:rPr>
                <w:rFonts w:ascii="Courier New" w:hAnsi="Courier New" w:cs="Courier New"/>
                <w:sz w:val="20"/>
                <w:szCs w:val="20"/>
              </w:rPr>
              <w:br/>
              <w:t xml:space="preserve">11015-93 </w:t>
            </w:r>
            <w:r>
              <w:rPr>
                <w:rFonts w:ascii="Courier New" w:hAnsi="Courier New" w:cs="Courier New"/>
                <w:sz w:val="20"/>
                <w:szCs w:val="20"/>
              </w:rPr>
              <w:br/>
              <w:t xml:space="preserve">11016-93 </w:t>
            </w:r>
          </w:p>
        </w:tc>
        <w:tc>
          <w:tcPr>
            <w:tcW w:w="1680" w:type="dxa"/>
            <w:tcBorders>
              <w:top w:val="single" w:sz="4" w:space="0" w:color="auto"/>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Группа роста</w:t>
            </w:r>
            <w:r>
              <w:rPr>
                <w:rFonts w:ascii="Courier New" w:hAnsi="Courier New" w:cs="Courier New"/>
                <w:sz w:val="20"/>
                <w:szCs w:val="20"/>
              </w:rPr>
              <w:br/>
              <w:t xml:space="preserve">  (в </w:t>
            </w:r>
            <w:proofErr w:type="gramStart"/>
            <w:r>
              <w:rPr>
                <w:rFonts w:ascii="Courier New" w:hAnsi="Courier New" w:cs="Courier New"/>
                <w:sz w:val="20"/>
                <w:szCs w:val="20"/>
              </w:rPr>
              <w:t>мм</w:t>
            </w:r>
            <w:proofErr w:type="gramEnd"/>
            <w:r>
              <w:rPr>
                <w:rFonts w:ascii="Courier New" w:hAnsi="Courier New" w:cs="Courier New"/>
                <w:sz w:val="20"/>
                <w:szCs w:val="20"/>
              </w:rPr>
              <w:t xml:space="preserve">)    </w:t>
            </w:r>
          </w:p>
        </w:tc>
        <w:tc>
          <w:tcPr>
            <w:tcW w:w="2160" w:type="dxa"/>
            <w:tcBorders>
              <w:top w:val="single" w:sz="4" w:space="0" w:color="auto"/>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Высота над полом</w:t>
            </w:r>
            <w:r>
              <w:rPr>
                <w:rFonts w:ascii="Courier New" w:hAnsi="Courier New" w:cs="Courier New"/>
                <w:sz w:val="20"/>
                <w:szCs w:val="20"/>
              </w:rPr>
              <w:br/>
              <w:t>крышки края ст</w:t>
            </w:r>
            <w:proofErr w:type="gramStart"/>
            <w:r>
              <w:rPr>
                <w:rFonts w:ascii="Courier New" w:hAnsi="Courier New" w:cs="Courier New"/>
                <w:sz w:val="20"/>
                <w:szCs w:val="20"/>
              </w:rPr>
              <w:t>о-</w:t>
            </w:r>
            <w:proofErr w:type="gramEnd"/>
            <w:r>
              <w:rPr>
                <w:rFonts w:ascii="Courier New" w:hAnsi="Courier New" w:cs="Courier New"/>
                <w:sz w:val="20"/>
                <w:szCs w:val="20"/>
              </w:rPr>
              <w:br/>
            </w:r>
            <w:proofErr w:type="spellStart"/>
            <w:r>
              <w:rPr>
                <w:rFonts w:ascii="Courier New" w:hAnsi="Courier New" w:cs="Courier New"/>
                <w:sz w:val="20"/>
                <w:szCs w:val="20"/>
              </w:rPr>
              <w:t>ла</w:t>
            </w:r>
            <w:proofErr w:type="spellEnd"/>
            <w:r>
              <w:rPr>
                <w:rFonts w:ascii="Courier New" w:hAnsi="Courier New" w:cs="Courier New"/>
                <w:sz w:val="20"/>
                <w:szCs w:val="20"/>
              </w:rPr>
              <w:t xml:space="preserve">, обращенного </w:t>
            </w:r>
            <w:r>
              <w:rPr>
                <w:rFonts w:ascii="Courier New" w:hAnsi="Courier New" w:cs="Courier New"/>
                <w:sz w:val="20"/>
                <w:szCs w:val="20"/>
              </w:rPr>
              <w:br/>
              <w:t xml:space="preserve">к ученику, по   </w:t>
            </w:r>
            <w:r>
              <w:rPr>
                <w:rFonts w:ascii="Courier New" w:hAnsi="Courier New" w:cs="Courier New"/>
                <w:sz w:val="20"/>
                <w:szCs w:val="20"/>
              </w:rPr>
              <w:br/>
            </w:r>
            <w:proofErr w:type="spellStart"/>
            <w:r>
              <w:rPr>
                <w:rFonts w:ascii="Courier New" w:hAnsi="Courier New" w:cs="Courier New"/>
                <w:sz w:val="20"/>
                <w:szCs w:val="20"/>
              </w:rPr>
              <w:t>ГОСТу</w:t>
            </w:r>
            <w:proofErr w:type="spellEnd"/>
            <w:r>
              <w:rPr>
                <w:rFonts w:ascii="Courier New" w:hAnsi="Courier New" w:cs="Courier New"/>
                <w:sz w:val="20"/>
                <w:szCs w:val="20"/>
              </w:rPr>
              <w:t xml:space="preserve"> 11015-93  </w:t>
            </w:r>
            <w:r>
              <w:rPr>
                <w:rFonts w:ascii="Courier New" w:hAnsi="Courier New" w:cs="Courier New"/>
                <w:sz w:val="20"/>
                <w:szCs w:val="20"/>
              </w:rPr>
              <w:br/>
              <w:t xml:space="preserve">(в мм)          </w:t>
            </w:r>
          </w:p>
        </w:tc>
        <w:tc>
          <w:tcPr>
            <w:tcW w:w="1920" w:type="dxa"/>
            <w:tcBorders>
              <w:top w:val="single" w:sz="4" w:space="0" w:color="auto"/>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Высота над п</w:t>
            </w:r>
            <w:proofErr w:type="gramStart"/>
            <w:r>
              <w:rPr>
                <w:rFonts w:ascii="Courier New" w:hAnsi="Courier New" w:cs="Courier New"/>
                <w:sz w:val="20"/>
                <w:szCs w:val="20"/>
              </w:rPr>
              <w:t>о-</w:t>
            </w:r>
            <w:proofErr w:type="gramEnd"/>
            <w:r>
              <w:rPr>
                <w:rFonts w:ascii="Courier New" w:hAnsi="Courier New" w:cs="Courier New"/>
                <w:sz w:val="20"/>
                <w:szCs w:val="20"/>
              </w:rPr>
              <w:br/>
              <w:t xml:space="preserve">лом переднего </w:t>
            </w:r>
            <w:r>
              <w:rPr>
                <w:rFonts w:ascii="Courier New" w:hAnsi="Courier New" w:cs="Courier New"/>
                <w:sz w:val="20"/>
                <w:szCs w:val="20"/>
              </w:rPr>
              <w:br/>
              <w:t xml:space="preserve">края сиденья  </w:t>
            </w:r>
            <w:r>
              <w:rPr>
                <w:rFonts w:ascii="Courier New" w:hAnsi="Courier New" w:cs="Courier New"/>
                <w:sz w:val="20"/>
                <w:szCs w:val="20"/>
              </w:rPr>
              <w:br/>
              <w:t xml:space="preserve">по </w:t>
            </w:r>
            <w:proofErr w:type="spellStart"/>
            <w:r>
              <w:rPr>
                <w:rFonts w:ascii="Courier New" w:hAnsi="Courier New" w:cs="Courier New"/>
                <w:sz w:val="20"/>
                <w:szCs w:val="20"/>
              </w:rPr>
              <w:t>ГОСТу</w:t>
            </w:r>
            <w:proofErr w:type="spellEnd"/>
            <w:r>
              <w:rPr>
                <w:rFonts w:ascii="Courier New" w:hAnsi="Courier New" w:cs="Courier New"/>
                <w:sz w:val="20"/>
                <w:szCs w:val="20"/>
              </w:rPr>
              <w:t xml:space="preserve">      </w:t>
            </w:r>
            <w:r>
              <w:rPr>
                <w:rFonts w:ascii="Courier New" w:hAnsi="Courier New" w:cs="Courier New"/>
                <w:sz w:val="20"/>
                <w:szCs w:val="20"/>
              </w:rPr>
              <w:br/>
              <w:t xml:space="preserve">11016-93 (в   </w:t>
            </w:r>
            <w:r>
              <w:rPr>
                <w:rFonts w:ascii="Courier New" w:hAnsi="Courier New" w:cs="Courier New"/>
                <w:sz w:val="20"/>
                <w:szCs w:val="20"/>
              </w:rPr>
              <w:br/>
              <w:t xml:space="preserve">мм)           </w:t>
            </w:r>
          </w:p>
        </w:tc>
        <w:tc>
          <w:tcPr>
            <w:tcW w:w="1320" w:type="dxa"/>
            <w:tcBorders>
              <w:top w:val="single" w:sz="4" w:space="0" w:color="auto"/>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Цвет     </w:t>
            </w:r>
            <w:r>
              <w:rPr>
                <w:rFonts w:ascii="Courier New" w:hAnsi="Courier New" w:cs="Courier New"/>
                <w:sz w:val="20"/>
                <w:szCs w:val="20"/>
              </w:rPr>
              <w:br/>
            </w:r>
            <w:proofErr w:type="spellStart"/>
            <w:r>
              <w:rPr>
                <w:rFonts w:ascii="Courier New" w:hAnsi="Courier New" w:cs="Courier New"/>
                <w:sz w:val="20"/>
                <w:szCs w:val="20"/>
              </w:rPr>
              <w:t>маркиро</w:t>
            </w:r>
            <w:proofErr w:type="gramStart"/>
            <w:r>
              <w:rPr>
                <w:rFonts w:ascii="Courier New" w:hAnsi="Courier New" w:cs="Courier New"/>
                <w:sz w:val="20"/>
                <w:szCs w:val="20"/>
              </w:rPr>
              <w:t>в</w:t>
            </w:r>
            <w:proofErr w:type="spellEnd"/>
            <w:r>
              <w:rPr>
                <w:rFonts w:ascii="Courier New" w:hAnsi="Courier New" w:cs="Courier New"/>
                <w:sz w:val="20"/>
                <w:szCs w:val="20"/>
              </w:rPr>
              <w:t>-</w:t>
            </w:r>
            <w:proofErr w:type="gramEnd"/>
            <w:r>
              <w:rPr>
                <w:rFonts w:ascii="Courier New" w:hAnsi="Courier New" w:cs="Courier New"/>
                <w:sz w:val="20"/>
                <w:szCs w:val="20"/>
              </w:rPr>
              <w:br/>
            </w:r>
            <w:proofErr w:type="spellStart"/>
            <w:r>
              <w:rPr>
                <w:rFonts w:ascii="Courier New" w:hAnsi="Courier New" w:cs="Courier New"/>
                <w:sz w:val="20"/>
                <w:szCs w:val="20"/>
              </w:rPr>
              <w:t>ки</w:t>
            </w:r>
            <w:proofErr w:type="spellEnd"/>
            <w:r>
              <w:rPr>
                <w:rFonts w:ascii="Courier New" w:hAnsi="Courier New" w:cs="Courier New"/>
                <w:sz w:val="20"/>
                <w:szCs w:val="20"/>
              </w:rPr>
              <w:t xml:space="preserve">       </w:t>
            </w:r>
          </w:p>
        </w:tc>
      </w:tr>
      <w:tr w:rsidR="00DF2172">
        <w:tblPrEx>
          <w:tblCellMar>
            <w:top w:w="0" w:type="dxa"/>
            <w:bottom w:w="0" w:type="dxa"/>
          </w:tblCellMar>
        </w:tblPrEx>
        <w:trPr>
          <w:tblCellSpacing w:w="5" w:type="nil"/>
        </w:trPr>
        <w:tc>
          <w:tcPr>
            <w:tcW w:w="13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4    </w:t>
            </w:r>
          </w:p>
        </w:tc>
        <w:tc>
          <w:tcPr>
            <w:tcW w:w="168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1450 - 1600 </w:t>
            </w:r>
          </w:p>
        </w:tc>
        <w:tc>
          <w:tcPr>
            <w:tcW w:w="21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640       </w:t>
            </w:r>
          </w:p>
        </w:tc>
        <w:tc>
          <w:tcPr>
            <w:tcW w:w="19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380     </w:t>
            </w:r>
          </w:p>
        </w:tc>
        <w:tc>
          <w:tcPr>
            <w:tcW w:w="13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красный  </w:t>
            </w:r>
          </w:p>
        </w:tc>
      </w:tr>
      <w:tr w:rsidR="00DF2172">
        <w:tblPrEx>
          <w:tblCellMar>
            <w:top w:w="0" w:type="dxa"/>
            <w:bottom w:w="0" w:type="dxa"/>
          </w:tblCellMar>
        </w:tblPrEx>
        <w:trPr>
          <w:tblCellSpacing w:w="5" w:type="nil"/>
        </w:trPr>
        <w:tc>
          <w:tcPr>
            <w:tcW w:w="13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5    </w:t>
            </w:r>
          </w:p>
        </w:tc>
        <w:tc>
          <w:tcPr>
            <w:tcW w:w="168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1600 - 1750 </w:t>
            </w:r>
          </w:p>
        </w:tc>
        <w:tc>
          <w:tcPr>
            <w:tcW w:w="21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700       </w:t>
            </w:r>
          </w:p>
        </w:tc>
        <w:tc>
          <w:tcPr>
            <w:tcW w:w="19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420     </w:t>
            </w:r>
          </w:p>
        </w:tc>
        <w:tc>
          <w:tcPr>
            <w:tcW w:w="13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зеленый  </w:t>
            </w:r>
          </w:p>
        </w:tc>
      </w:tr>
      <w:tr w:rsidR="00DF2172">
        <w:tblPrEx>
          <w:tblCellMar>
            <w:top w:w="0" w:type="dxa"/>
            <w:bottom w:w="0" w:type="dxa"/>
          </w:tblCellMar>
        </w:tblPrEx>
        <w:trPr>
          <w:tblCellSpacing w:w="5" w:type="nil"/>
        </w:trPr>
        <w:tc>
          <w:tcPr>
            <w:tcW w:w="13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6    </w:t>
            </w:r>
          </w:p>
        </w:tc>
        <w:tc>
          <w:tcPr>
            <w:tcW w:w="168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Свыше 1750  </w:t>
            </w:r>
          </w:p>
        </w:tc>
        <w:tc>
          <w:tcPr>
            <w:tcW w:w="21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760       </w:t>
            </w:r>
          </w:p>
        </w:tc>
        <w:tc>
          <w:tcPr>
            <w:tcW w:w="19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460     </w:t>
            </w:r>
          </w:p>
        </w:tc>
        <w:tc>
          <w:tcPr>
            <w:tcW w:w="13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голубой  </w:t>
            </w:r>
          </w:p>
        </w:tc>
      </w:tr>
    </w:tbl>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2.2.3.2. Расстановку учебной мебели следует проводить с соблюдением угла видимости не менее 35 град. (угол, образованный поверхностью доски и крайними рабочими местами на первых столах).</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2.2.3.3. При продольной конфигурации учебного помещения столы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расставляют в 2 - 3 ряда перпендикулярно стене с оконными проемами для того, чтобы основной световой поток падал слева от обучающихся. </w:t>
      </w:r>
      <w:proofErr w:type="gramStart"/>
      <w:r>
        <w:rPr>
          <w:rFonts w:ascii="Times New Roman" w:hAnsi="Times New Roman" w:cs="Times New Roman"/>
          <w:sz w:val="24"/>
          <w:szCs w:val="24"/>
        </w:rPr>
        <w:t xml:space="preserve">Ширина проходов, начиная от стены со </w:t>
      </w:r>
      <w:proofErr w:type="spellStart"/>
      <w:r>
        <w:rPr>
          <w:rFonts w:ascii="Times New Roman" w:hAnsi="Times New Roman" w:cs="Times New Roman"/>
          <w:sz w:val="24"/>
          <w:szCs w:val="24"/>
        </w:rPr>
        <w:t>светопроемами</w:t>
      </w:r>
      <w:proofErr w:type="spellEnd"/>
      <w:r>
        <w:rPr>
          <w:rFonts w:ascii="Times New Roman" w:hAnsi="Times New Roman" w:cs="Times New Roman"/>
          <w:sz w:val="24"/>
          <w:szCs w:val="24"/>
        </w:rPr>
        <w:t>, составляет для первого, второго и третьего рядов - 0,6 м, для последнего ряда между внутренней продольной стеной и вторым-третьим рядами столов - 0,5 - 0,7 м. От последних столов до задней стены (перегородки) - не менее 0,65 м &lt;*&gt;. В 1 климатическом районе расстояние от стены с окнами до первого ряда столов составляет не менее 1 м. Расстояние</w:t>
      </w:r>
      <w:proofErr w:type="gramEnd"/>
      <w:r>
        <w:rPr>
          <w:rFonts w:ascii="Times New Roman" w:hAnsi="Times New Roman" w:cs="Times New Roman"/>
          <w:sz w:val="24"/>
          <w:szCs w:val="24"/>
        </w:rPr>
        <w:t xml:space="preserve"> между первыми столами и доской составляет 2,4 - 2,7 м. Наибольшая удаленность последнего места от учебной доски - 8,6 м.</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&lt;*&gt; В "оборотных" классах (вход в класс у последних парт) расстояние между стеной и рабочим местом должно быть 1,2 м.</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2.2.3.4. В кабинетах квадратной или поперечной конфигурации учебные столы ставят в 3 - 4 ряда, при этом расстояние от первых столов до классной доски составляет не менее 3,0 м.</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2.2.3.5. В лабораториях столы ставят в два ряда. Расстояние между рядами столов составляет 1,0 м, а в кабинетах черчения и рисования - 0,7 м.</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2.2.3.6. Оборудование в мастерских расставляют перпендикулярно или под углом 30 - 45 град. к </w:t>
      </w:r>
      <w:proofErr w:type="spellStart"/>
      <w:r>
        <w:rPr>
          <w:rFonts w:ascii="Times New Roman" w:hAnsi="Times New Roman" w:cs="Times New Roman"/>
          <w:sz w:val="24"/>
          <w:szCs w:val="24"/>
        </w:rPr>
        <w:t>светонесущей</w:t>
      </w:r>
      <w:proofErr w:type="spellEnd"/>
      <w:r>
        <w:rPr>
          <w:rFonts w:ascii="Times New Roman" w:hAnsi="Times New Roman" w:cs="Times New Roman"/>
          <w:sz w:val="24"/>
          <w:szCs w:val="24"/>
        </w:rPr>
        <w:t xml:space="preserve"> стене (при расстоянии между рядами станков 1,2 м, а между станками в рядах - не менее 0,8 м).</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2.2.3.7. Рабочие места в общетеоретических, общетехнических и специальных кабинетах и лабораториях оборудуют двухместными ученическими столами; в кабинетах черчения и кабинетах, оборудованных </w:t>
      </w:r>
      <w:proofErr w:type="spellStart"/>
      <w:r>
        <w:rPr>
          <w:rFonts w:ascii="Times New Roman" w:hAnsi="Times New Roman" w:cs="Times New Roman"/>
          <w:sz w:val="24"/>
          <w:szCs w:val="24"/>
        </w:rPr>
        <w:t>видеодисплейными</w:t>
      </w:r>
      <w:proofErr w:type="spellEnd"/>
      <w:r>
        <w:rPr>
          <w:rFonts w:ascii="Times New Roman" w:hAnsi="Times New Roman" w:cs="Times New Roman"/>
          <w:sz w:val="24"/>
          <w:szCs w:val="24"/>
        </w:rPr>
        <w:t xml:space="preserve"> терминалами и персональными электронно-вычислительными машинами (ПЭВМ), - одноместными.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2.2.3.8. Рабочее место преподавателя оборудуют столом и стулом. В зависимости от назначения учебного помещения зона преподавателя оборудуется столами в соответствии с требованиями к столам для учителя, столам демонстрационным с пультом управления и без него.</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2.2.3.9. В лабораториях, кабинетах </w:t>
      </w:r>
      <w:proofErr w:type="spellStart"/>
      <w:r>
        <w:rPr>
          <w:rFonts w:ascii="Times New Roman" w:hAnsi="Times New Roman" w:cs="Times New Roman"/>
          <w:sz w:val="24"/>
          <w:szCs w:val="24"/>
        </w:rPr>
        <w:t>спецтехнологии</w:t>
      </w:r>
      <w:proofErr w:type="spellEnd"/>
      <w:r>
        <w:rPr>
          <w:rFonts w:ascii="Times New Roman" w:hAnsi="Times New Roman" w:cs="Times New Roman"/>
          <w:sz w:val="24"/>
          <w:szCs w:val="24"/>
        </w:rPr>
        <w:t xml:space="preserve"> столы преподавателя устанавливаются на подиуме высотой 15 - 30 см.</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2.2.3.10. В учебном процессе следует использовать стационарные и мобильные технические средства обучения (ТСО). Мобильные ТСО следует устанавливать на переносные и складные или передвижные подставки согласно требованиям к подставкам для технических средств обучения.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2.2.3.11. Тренажерные устройства, используемые для освоения сложных профессий (горнорудной, химической, металлургической промышленности, транспорта, строительства, сельского хозяйства и др.), размещают в отдельных помещениях или комплексах тренажерных кабинетов.</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2.2.3.12. Кабинеты иностранного языка оборудуют лингафонными рецептивными (прослушивание учащимися с помощью головных телефонов) и </w:t>
      </w:r>
      <w:proofErr w:type="spellStart"/>
      <w:r>
        <w:rPr>
          <w:rFonts w:ascii="Times New Roman" w:hAnsi="Times New Roman" w:cs="Times New Roman"/>
          <w:sz w:val="24"/>
          <w:szCs w:val="24"/>
        </w:rPr>
        <w:t>рецептивно-репродуктивными</w:t>
      </w:r>
      <w:proofErr w:type="spellEnd"/>
      <w:r>
        <w:rPr>
          <w:rFonts w:ascii="Times New Roman" w:hAnsi="Times New Roman" w:cs="Times New Roman"/>
          <w:sz w:val="24"/>
          <w:szCs w:val="24"/>
        </w:rPr>
        <w:t xml:space="preserve"> (прослушивание с последующим воспроизведением) установками.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2.2.3.13. Лингафонные кабинеты оборудуют </w:t>
      </w:r>
      <w:proofErr w:type="spellStart"/>
      <w:r>
        <w:rPr>
          <w:rFonts w:ascii="Times New Roman" w:hAnsi="Times New Roman" w:cs="Times New Roman"/>
          <w:sz w:val="24"/>
          <w:szCs w:val="24"/>
        </w:rPr>
        <w:t>полукабинами</w:t>
      </w:r>
      <w:proofErr w:type="spellEnd"/>
      <w:r>
        <w:rPr>
          <w:rFonts w:ascii="Times New Roman" w:hAnsi="Times New Roman" w:cs="Times New Roman"/>
          <w:sz w:val="24"/>
          <w:szCs w:val="24"/>
        </w:rPr>
        <w:t>. Стол преподавателя имеет пульт управления. Лингафонный кабинет оборудуют современными аудиосредствами.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2.2.3.14. Лаборатории химии оборудуют вытяжными шкафами в соответствии с требованиями к шкафам демонстрационным и лабораторным вытяжным.</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2.2.3.15. При отсутствии встроенных шкафов учебные пособия хранят в </w:t>
      </w:r>
      <w:proofErr w:type="spellStart"/>
      <w:r>
        <w:rPr>
          <w:rFonts w:ascii="Times New Roman" w:hAnsi="Times New Roman" w:cs="Times New Roman"/>
          <w:sz w:val="24"/>
          <w:szCs w:val="24"/>
        </w:rPr>
        <w:t>пристенных</w:t>
      </w:r>
      <w:proofErr w:type="spellEnd"/>
      <w:r>
        <w:rPr>
          <w:rFonts w:ascii="Times New Roman" w:hAnsi="Times New Roman" w:cs="Times New Roman"/>
          <w:sz w:val="24"/>
          <w:szCs w:val="24"/>
        </w:rPr>
        <w:t xml:space="preserve"> шкафах, оборудованных согласно </w:t>
      </w:r>
      <w:proofErr w:type="spellStart"/>
      <w:r>
        <w:rPr>
          <w:rFonts w:ascii="Times New Roman" w:hAnsi="Times New Roman" w:cs="Times New Roman"/>
          <w:sz w:val="24"/>
          <w:szCs w:val="24"/>
        </w:rPr>
        <w:t>ГОСТу</w:t>
      </w:r>
      <w:proofErr w:type="spellEnd"/>
      <w:r>
        <w:rPr>
          <w:rFonts w:ascii="Times New Roman" w:hAnsi="Times New Roman" w:cs="Times New Roman"/>
          <w:sz w:val="24"/>
          <w:szCs w:val="24"/>
        </w:rPr>
        <w:t xml:space="preserve"> о шкафах для учебных пособий. </w:t>
      </w:r>
      <w:proofErr w:type="spellStart"/>
      <w:r>
        <w:rPr>
          <w:rFonts w:ascii="Times New Roman" w:hAnsi="Times New Roman" w:cs="Times New Roman"/>
          <w:sz w:val="24"/>
          <w:szCs w:val="24"/>
        </w:rPr>
        <w:t>Пристенные</w:t>
      </w:r>
      <w:proofErr w:type="spellEnd"/>
      <w:r>
        <w:rPr>
          <w:rFonts w:ascii="Times New Roman" w:hAnsi="Times New Roman" w:cs="Times New Roman"/>
          <w:sz w:val="24"/>
          <w:szCs w:val="24"/>
        </w:rPr>
        <w:t xml:space="preserve"> шкафы следует располагать в </w:t>
      </w:r>
      <w:proofErr w:type="gramStart"/>
      <w:r>
        <w:rPr>
          <w:rFonts w:ascii="Times New Roman" w:hAnsi="Times New Roman" w:cs="Times New Roman"/>
          <w:sz w:val="24"/>
          <w:szCs w:val="24"/>
        </w:rPr>
        <w:t>лаборантской</w:t>
      </w:r>
      <w:proofErr w:type="gramEnd"/>
      <w:r>
        <w:rPr>
          <w:rFonts w:ascii="Times New Roman" w:hAnsi="Times New Roman" w:cs="Times New Roman"/>
          <w:sz w:val="24"/>
          <w:szCs w:val="24"/>
        </w:rPr>
        <w:t xml:space="preserve"> или в учебном помещении.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2.2.3.16. </w:t>
      </w:r>
      <w:proofErr w:type="gramStart"/>
      <w:r>
        <w:rPr>
          <w:rFonts w:ascii="Times New Roman" w:hAnsi="Times New Roman" w:cs="Times New Roman"/>
          <w:sz w:val="24"/>
          <w:szCs w:val="24"/>
        </w:rPr>
        <w:t>Учебным мастерским следует иметь площадь, объем и оборудование, соответствующие технологическим процессам и обеспечивающие создание оптимальных условий учебно-производственной деятельности подростков.</w:t>
      </w:r>
      <w:proofErr w:type="gramEnd"/>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2.2.3.17. Все оборудование, в том числе и механической обработки, являющееся источником </w:t>
      </w:r>
      <w:proofErr w:type="spellStart"/>
      <w:r>
        <w:rPr>
          <w:rFonts w:ascii="Times New Roman" w:hAnsi="Times New Roman" w:cs="Times New Roman"/>
          <w:sz w:val="24"/>
          <w:szCs w:val="24"/>
        </w:rPr>
        <w:t>пылегазовыделений</w:t>
      </w:r>
      <w:proofErr w:type="spellEnd"/>
      <w:r>
        <w:rPr>
          <w:rFonts w:ascii="Times New Roman" w:hAnsi="Times New Roman" w:cs="Times New Roman"/>
          <w:sz w:val="24"/>
          <w:szCs w:val="24"/>
        </w:rPr>
        <w:t>, обязательно оснащают местной вытяжной вентиляцией.</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2.2.3.18. Каждую мастерскую оборудуют шкафами для хранения спецодежды и умывальниками с подачей горячей и холодной воды (не менее 2-х умывальников на мастерскую). Размеры шкафов и их количество следует принимать в соответствии с требованиями, предъявляемыми к административным и бытовым зданиям.</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2.2.3.19. При отдельно стоящем здании мастерских предусматривают гардеробную для верхней одежды, душевые, умывальные, туалеты, устройства для питьевого водоснабжения, а при необходимости - помещение для выдачи спецодежды и индивидуальных средств защиты. Площадь гардеробных, помещений для хранения спецодежды, душевых и туалетов принимают в соответствии с требованиями, предъявляемыми к административным и бытовым зданиям.</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2.2.3.20. Многопостовые сварочные агрегаты устанавливают только в отдельном помещении, изолированном от других учебных помещений.</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2.2.3.21. Рабочие места для газовой сварки располагают в изолированных кабинах, оборудованных сварочным столом, стулом и емкостью с водой для охлаждения горелки.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2.2.3.22. Электромонтажные мастерские, в которых проводится пайка, оборудуют столами, имеющими металлическое покрытие размером не менее 300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300 мм, приспособлениями для размещения и закрепления элементов и узлов пайки.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2.2.4. Помещения общего и специального назначения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2.2.4.1. Актовый зал в учреждениях НПО рассчитывают на одновременное пребывание не менее 60% общего количества обучающихся.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2.2.4.2. Площадь актового зала следует принимать из расчета не менее 0,65 м</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на 1 место.</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2.2.4.3. Учебно-спортивные залы следует размещать на первом этаже. Количество и типы спортивных залов предусматривают в зависимости от вида учреждения, его вместимости. Площади спортивных залов приняты 9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м, 12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24 м,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30 м при высоте не менее 6 м.</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2.2.4.4. При залах предусматривают снарядные, кабинет инструктора физического воспитания, бытовые помещения: раздевальные мужские и женские площадью не менее 10,5 м</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каждая; раздельные душевые площадью по 9 м2 каждая; уборные площадью по 8 м2. Вход в спортивный зал из гардеробных (раздевальных) следует предусматривать непосредственно или через обособленный коридор.</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2.2.4.5. Устройство и планировочное решение бассейна должны отвечать </w:t>
      </w:r>
      <w:hyperlink r:id="rId16" w:history="1">
        <w:r>
          <w:rPr>
            <w:rFonts w:ascii="Times New Roman" w:hAnsi="Times New Roman" w:cs="Times New Roman"/>
            <w:color w:val="0000FF"/>
            <w:sz w:val="24"/>
            <w:szCs w:val="24"/>
          </w:rPr>
          <w:t>гигиеническим требованиям</w:t>
        </w:r>
      </w:hyperlink>
      <w:r>
        <w:rPr>
          <w:rFonts w:ascii="Times New Roman" w:hAnsi="Times New Roman" w:cs="Times New Roman"/>
          <w:sz w:val="24"/>
          <w:szCs w:val="24"/>
        </w:rPr>
        <w:t xml:space="preserve"> к устройству, эксплуатации и качеству воды плавательных бассейнов.</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2.2.4.6. Помещения библиотеки состоят из читального зала и книгохранилища. Общую площадь библиотеки следует принимать из расчета 0,6 м</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на 1 обучающегося.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2.2.4.7. Площадь хранения библиотечных фондов открытого хранения составляет не менее 4,5 м</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на 1 тыс. единиц хранения.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2.2.4.8. Медицинский пункт учреждения включает:</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кабинет врача площадью не менее 21 м</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(длина кабинета - не менее 7 м для возможности определения остроты зрения и слуха);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процедурный кабинет площадью не менее 12 м</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кабинет зубного врача площадью 12 м</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 медицинском пункте должен быть туалет на 1 унитаз с умывальником в шлюзе.</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2.2.4.9. В служебно-бытовые помещения входят гардеробные, бельевая, санитарно-гигиенические помещения и комната отдыха персонала столовой.</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2.2.4.10. В здании учебного корпуса предусматривают уборные и умывальные для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на каждом этаже и по отдельным блокам здания.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2.2.4.11. На каждом этаже размещают санитарные узлы для подростков обоего пола, оборудованные кабинами с дверями без запоров. Количество санитарных приборов устанавливается из расчета: 1 унитаз на 20 девушек, 1 умывальник на 30 девушек; 1 унитаз, 0,5 лоткового писсуара и 1 умывальник на 30 юношей. Для девушек организуют комнаты личной гигиены из расчета 1 кабина на 70 человек площадью не менее 3 м</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2.2.4.12. Для персонала на каждом этаже устанавливают санитарный узел, оборудованный 1 унитазом и 1 умывальником (с чередованием по этажам для мужчин и женщин). Для обработки и хранения уборочного инвентаря, приготовления моющих и дезинфицирующих средств на каждом этаже учебного корпуса предусматриваются помещения, оборудованные поддоном, подводкой холодной и горячей воды, естественной вытяжной вентиляцией, стены облицовываются глазурованной плиткой на высоту 1,5 метра.</w:t>
      </w:r>
    </w:p>
    <w:p w:rsidR="00DF2172" w:rsidRDefault="00DF2172" w:rsidP="00DF2172">
      <w:pPr>
        <w:pBdr>
          <w:bottom w:val="single" w:sz="6" w:space="0" w:color="auto"/>
        </w:pBdr>
        <w:autoSpaceDE w:val="0"/>
        <w:autoSpaceDN w:val="0"/>
        <w:adjustRightInd w:val="0"/>
        <w:spacing w:after="0" w:line="240" w:lineRule="auto"/>
        <w:rPr>
          <w:rFonts w:ascii="Times New Roman" w:hAnsi="Times New Roman" w:cs="Times New Roman"/>
          <w:sz w:val="5"/>
          <w:szCs w:val="5"/>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КонсультантПлюс</w:t>
      </w:r>
      <w:proofErr w:type="spellEnd"/>
      <w:r>
        <w:rPr>
          <w:rFonts w:ascii="Times New Roman" w:hAnsi="Times New Roman" w:cs="Times New Roman"/>
          <w:sz w:val="24"/>
          <w:szCs w:val="24"/>
        </w:rPr>
        <w:t>: примечание.</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Постановлением Главного государственного санитарного врача РФ от 23.03.2011 N 23 утверждены </w:t>
      </w:r>
      <w:hyperlink r:id="rId17" w:history="1">
        <w:r>
          <w:rPr>
            <w:rFonts w:ascii="Times New Roman" w:hAnsi="Times New Roman" w:cs="Times New Roman"/>
            <w:color w:val="0000FF"/>
            <w:sz w:val="24"/>
            <w:szCs w:val="24"/>
          </w:rPr>
          <w:t>СП 2.1.2.2844-11</w:t>
        </w:r>
      </w:hyperlink>
      <w:r>
        <w:rPr>
          <w:rFonts w:ascii="Times New Roman" w:hAnsi="Times New Roman" w:cs="Times New Roman"/>
          <w:sz w:val="24"/>
          <w:szCs w:val="24"/>
        </w:rPr>
        <w:t xml:space="preserve"> "Санитарно-эпидемиологические требования к устройству, оборудованию и содержанию общежитий для работников организаций и обучающихся образовательных учреждений".</w:t>
      </w:r>
    </w:p>
    <w:p w:rsidR="00DF2172" w:rsidRDefault="00DF2172" w:rsidP="00DF2172">
      <w:pPr>
        <w:pBdr>
          <w:bottom w:val="single" w:sz="6" w:space="0" w:color="auto"/>
        </w:pBdr>
        <w:autoSpaceDE w:val="0"/>
        <w:autoSpaceDN w:val="0"/>
        <w:adjustRightInd w:val="0"/>
        <w:spacing w:after="0" w:line="240" w:lineRule="auto"/>
        <w:rPr>
          <w:rFonts w:ascii="Times New Roman" w:hAnsi="Times New Roman" w:cs="Times New Roman"/>
          <w:sz w:val="5"/>
          <w:szCs w:val="5"/>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2.2.4.13. Общежития учреждений НПО должны соответствовать требованиям, предъявляемым к устройству, оборудованию и содержанию общежитий для рабочих, студентов, учащихся средних специальных заведений и профессионально-технических училищ.</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2.2.5. Утратил силу. - </w:t>
      </w:r>
      <w:hyperlink r:id="rId18" w:history="1">
        <w:r>
          <w:rPr>
            <w:rFonts w:ascii="Times New Roman" w:hAnsi="Times New Roman" w:cs="Times New Roman"/>
            <w:color w:val="0000FF"/>
            <w:sz w:val="24"/>
            <w:szCs w:val="24"/>
          </w:rPr>
          <w:t>Постановление</w:t>
        </w:r>
      </w:hyperlink>
      <w:r>
        <w:rPr>
          <w:rFonts w:ascii="Times New Roman" w:hAnsi="Times New Roman" w:cs="Times New Roman"/>
          <w:sz w:val="24"/>
          <w:szCs w:val="24"/>
        </w:rPr>
        <w:t xml:space="preserve"> Главного государственного санитарного врача РФ от 23.07.2008 N 45.</w:t>
      </w:r>
    </w:p>
    <w:p w:rsidR="00DF2172" w:rsidRDefault="00DF2172" w:rsidP="00DF2172">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2.3. Требования к водоснабжению и канализации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2.3.1. Здание учебного заведения должно быть оборудовано водопроводом, горячим водоснабжением и канализацией.</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2.3.2. Водоснабжение и канализация должны быть централизованными.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2.3.3. Учреждения должны быть обеспечены доброкачественной водой, отвечающей </w:t>
      </w:r>
      <w:hyperlink r:id="rId19" w:history="1">
        <w:r>
          <w:rPr>
            <w:rFonts w:ascii="Times New Roman" w:hAnsi="Times New Roman" w:cs="Times New Roman"/>
            <w:color w:val="0000FF"/>
            <w:sz w:val="24"/>
            <w:szCs w:val="24"/>
          </w:rPr>
          <w:t>санитарным требованиям</w:t>
        </w:r>
      </w:hyperlink>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2.3.4. Использование фильтров для очистки питьевой воды должно быть согласовано с местными центрами </w:t>
      </w:r>
      <w:proofErr w:type="spellStart"/>
      <w:r>
        <w:rPr>
          <w:rFonts w:ascii="Times New Roman" w:hAnsi="Times New Roman" w:cs="Times New Roman"/>
          <w:sz w:val="24"/>
          <w:szCs w:val="24"/>
        </w:rPr>
        <w:t>госсанэпиднадзора</w:t>
      </w:r>
      <w:proofErr w:type="spellEnd"/>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2.3.5. Горячим водоснабжением должны быть обеспечены производственные помещения пищеблока, душевые, умывальные, гигиенические кабины для девушек, помещения медицинского кабинета.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2.3.6. В </w:t>
      </w:r>
      <w:proofErr w:type="spellStart"/>
      <w:r>
        <w:rPr>
          <w:rFonts w:ascii="Times New Roman" w:hAnsi="Times New Roman" w:cs="Times New Roman"/>
          <w:sz w:val="24"/>
          <w:szCs w:val="24"/>
        </w:rPr>
        <w:t>неканализованных</w:t>
      </w:r>
      <w:proofErr w:type="spellEnd"/>
      <w:r>
        <w:rPr>
          <w:rFonts w:ascii="Times New Roman" w:hAnsi="Times New Roman" w:cs="Times New Roman"/>
          <w:sz w:val="24"/>
          <w:szCs w:val="24"/>
        </w:rPr>
        <w:t xml:space="preserve"> районах учреждения должны оборудоваться внутренней канализацией при условии устройства местных очистных сооружений.</w:t>
      </w:r>
    </w:p>
    <w:p w:rsidR="00DF2172" w:rsidRDefault="00DF2172" w:rsidP="00DF2172">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2.4. Требования к условиям внутренней среды помещений</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2.4.1. Естественное освещение</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2.4.1.1. Учебные, учебно-производственные, рекреационные, жилые и др. помещения с постоянным пребыванием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имеют естественное освещение.</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 xml:space="preserve">Без естественного освещения допускается проектировать: снарядные, умывальные, душевые, уборные при гимнастическом зале; душевые и уборные персонала; кладовые и складские помещения (кроме помещений для хранения легковоспламеняющихся жидкостей); радиоузлы; </w:t>
      </w:r>
      <w:proofErr w:type="spellStart"/>
      <w:r>
        <w:rPr>
          <w:rFonts w:ascii="Times New Roman" w:hAnsi="Times New Roman" w:cs="Times New Roman"/>
          <w:sz w:val="24"/>
          <w:szCs w:val="24"/>
        </w:rPr>
        <w:t>кинофотолаборатории</w:t>
      </w:r>
      <w:proofErr w:type="spellEnd"/>
      <w:r>
        <w:rPr>
          <w:rFonts w:ascii="Times New Roman" w:hAnsi="Times New Roman" w:cs="Times New Roman"/>
          <w:sz w:val="24"/>
          <w:szCs w:val="24"/>
        </w:rPr>
        <w:t>; книгохранилища; бойлерные, насосные водопровода и канализации; камеры вентиляционные и кондиционирования воздуха; узлы управления и другие помещения для установки и управления инженерным и технологическим оборудованием зданий;</w:t>
      </w:r>
      <w:proofErr w:type="gramEnd"/>
      <w:r>
        <w:rPr>
          <w:rFonts w:ascii="Times New Roman" w:hAnsi="Times New Roman" w:cs="Times New Roman"/>
          <w:sz w:val="24"/>
          <w:szCs w:val="24"/>
        </w:rPr>
        <w:t xml:space="preserve"> помещения для хранения </w:t>
      </w:r>
      <w:proofErr w:type="spellStart"/>
      <w:r>
        <w:rPr>
          <w:rFonts w:ascii="Times New Roman" w:hAnsi="Times New Roman" w:cs="Times New Roman"/>
          <w:sz w:val="24"/>
          <w:szCs w:val="24"/>
        </w:rPr>
        <w:t>дезсредств</w:t>
      </w:r>
      <w:proofErr w:type="spellEnd"/>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2.4.1.2. Основной системой естественного освещения учебных помещений является </w:t>
      </w:r>
      <w:proofErr w:type="gramStart"/>
      <w:r>
        <w:rPr>
          <w:rFonts w:ascii="Times New Roman" w:hAnsi="Times New Roman" w:cs="Times New Roman"/>
          <w:sz w:val="24"/>
          <w:szCs w:val="24"/>
        </w:rPr>
        <w:t>боковое</w:t>
      </w:r>
      <w:proofErr w:type="gramEnd"/>
      <w:r>
        <w:rPr>
          <w:rFonts w:ascii="Times New Roman" w:hAnsi="Times New Roman" w:cs="Times New Roman"/>
          <w:sz w:val="24"/>
          <w:szCs w:val="24"/>
        </w:rPr>
        <w:t xml:space="preserve"> левостороннее. Направление основного светового потока не должно быть спереди и сзади от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При глубине учебных помещений более 6 метров обязательно устройство правостороннего подсвета.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учебно-производственных мастерских, актовых и спортивных залах применяют системы освещения (боковое - одно, двух- и трехстороннее) и комбинированное (верхнее и боковое). </w:t>
      </w:r>
      <w:proofErr w:type="gramStart"/>
      <w:r>
        <w:rPr>
          <w:rFonts w:ascii="Times New Roman" w:hAnsi="Times New Roman" w:cs="Times New Roman"/>
          <w:sz w:val="24"/>
          <w:szCs w:val="24"/>
        </w:rPr>
        <w:t>Выбор системы освещения определяют характером зрительной работы, габаритами помещения и оборудования, особенностями светового климата и др. Для мастерских с большой глубиной - наилучшими системами следует считать двухстороннее боковое и комбинированное (в одно- и двухэтажных зданиях).</w:t>
      </w:r>
      <w:proofErr w:type="gramEnd"/>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Направленность света от боковых окон на рабочую поверхность, как правило, левостороннее. В слесарных и токарных мастерских направление света от боковых окон справа (при этом обеспечивается наименьшее затенение от корпуса </w:t>
      </w:r>
      <w:proofErr w:type="gramStart"/>
      <w:r>
        <w:rPr>
          <w:rFonts w:ascii="Times New Roman" w:hAnsi="Times New Roman" w:cs="Times New Roman"/>
          <w:sz w:val="24"/>
          <w:szCs w:val="24"/>
        </w:rPr>
        <w:t>тела</w:t>
      </w:r>
      <w:proofErr w:type="gramEnd"/>
      <w:r>
        <w:rPr>
          <w:rFonts w:ascii="Times New Roman" w:hAnsi="Times New Roman" w:cs="Times New Roman"/>
          <w:sz w:val="24"/>
          <w:szCs w:val="24"/>
        </w:rPr>
        <w:t xml:space="preserve"> работающего и громоздкой левой части токарных станков).</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2.4.1.3. </w:t>
      </w:r>
      <w:proofErr w:type="gramStart"/>
      <w:r>
        <w:rPr>
          <w:rFonts w:ascii="Times New Roman" w:hAnsi="Times New Roman" w:cs="Times New Roman"/>
          <w:sz w:val="24"/>
          <w:szCs w:val="24"/>
        </w:rPr>
        <w:t>В учебных помещениях коэффициент естественного освещения (КЕО) должен быть 1,5% на расстоянии 1 м от стены, противоположной световым проемам, кабинетах технического черчения - 2,0%. В спортивном зале при боковом освещении - 1,0%, при верхнем и комбинированном - 3,0%.</w:t>
      </w:r>
      <w:proofErr w:type="gramEnd"/>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2.4.1.4. В учебно-производственных мастерских и рабочих местах обучающихся на предприятиях КЕО обеспечивается в соответствии с характеристикой зрительной работы согласно </w:t>
      </w:r>
      <w:hyperlink r:id="rId20" w:history="1">
        <w:r>
          <w:rPr>
            <w:rFonts w:ascii="Times New Roman" w:hAnsi="Times New Roman" w:cs="Times New Roman"/>
            <w:color w:val="0000FF"/>
            <w:sz w:val="24"/>
            <w:szCs w:val="24"/>
          </w:rPr>
          <w:t>требованиям</w:t>
        </w:r>
      </w:hyperlink>
      <w:r>
        <w:rPr>
          <w:rFonts w:ascii="Times New Roman" w:hAnsi="Times New Roman" w:cs="Times New Roman"/>
          <w:sz w:val="24"/>
          <w:szCs w:val="24"/>
        </w:rPr>
        <w:t>, предъявляемым к естественному и искусственному освещению. В помещениях, специально предназначенных для работы или производственного обучения подростков, нормированное значение КЕО повышается на один разряд и должно быть не менее 1,0%.</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2.4.1.5. Неравномерность естественного освещения в учебно-производственных помещениях не должна превышать 3:1 (отношение среднего значения КЕО к </w:t>
      </w:r>
      <w:proofErr w:type="gramStart"/>
      <w:r>
        <w:rPr>
          <w:rFonts w:ascii="Times New Roman" w:hAnsi="Times New Roman" w:cs="Times New Roman"/>
          <w:sz w:val="24"/>
          <w:szCs w:val="24"/>
        </w:rPr>
        <w:t>наименьшему</w:t>
      </w:r>
      <w:proofErr w:type="gramEnd"/>
      <w:r>
        <w:rPr>
          <w:rFonts w:ascii="Times New Roman" w:hAnsi="Times New Roman" w:cs="Times New Roman"/>
          <w:sz w:val="24"/>
          <w:szCs w:val="24"/>
        </w:rPr>
        <w:t xml:space="preserve"> в пределах характерного разреза помещения). Ориентация окон учебных помещений должна быть на южные, юго-восточные и восточные стороны горизонта. На северные стороны горизонта могут быть ориентированы окна кабинетов черчения, рисования, а также помещение кухни; ориентация кабинета вычислительной техники - на север, северо-восток.</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2.4.1.6. Соотношение яркостей в поле зрения не должно превышать 3:1 - между тетрадью и поверхностью стола, 10:1 - между тетрадью и стеной; 1:3 - между классной доской и стеной и 20:1 - между световым проемом и стеной.</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2.4.1.7. Для окраски и отделки поверхностей интерьера и оборудования учебных помещений и учебно-производственных мастерских следует использовать диффузно-отражающие материалы светлой гаммы цветов: потолок и верхнюю часть стен, двери и оконные рамы окрашивают в белый цвет, стены - в светло-желтые, светло-голубые, светло-розовые, бежевые, светло-зеленые цвета с коэффициентом отражения не менее 0,6 - 0,7; столы - в светло-зеленые и цвета натурального дерева - с коэффициентом отражения не менее 0,5; классные доски - в темно-коричневые или темно-зеленые цвета с коэффициентом отражения не менее 0,2; пол - в светлые тона с коэффициентом отражения 0,4 - 0,5.</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2.4.1.8. В учебных и учебно-производственных помещениях комнатные цветы следует размещать в подвесных кашпо в простенках между окнами или на подставках высотой 65 - 70 см от пола.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2.4.1.9. Очистку оконных стекол необходимо производить на реже двух раз в год.</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2.4.1.10. Искусственное освещение следует включать при снижении уровня естественной освещенности на удаленных от оконных проемов столах ниже 300 лк.</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2.4.1.11. </w:t>
      </w:r>
      <w:proofErr w:type="spellStart"/>
      <w:r>
        <w:rPr>
          <w:rFonts w:ascii="Times New Roman" w:hAnsi="Times New Roman" w:cs="Times New Roman"/>
          <w:sz w:val="24"/>
          <w:szCs w:val="24"/>
        </w:rPr>
        <w:t>Светопроемы</w:t>
      </w:r>
      <w:proofErr w:type="spellEnd"/>
      <w:r>
        <w:rPr>
          <w:rFonts w:ascii="Times New Roman" w:hAnsi="Times New Roman" w:cs="Times New Roman"/>
          <w:sz w:val="24"/>
          <w:szCs w:val="24"/>
        </w:rPr>
        <w:t xml:space="preserve"> учебных помещений оборудуют регулируемыми солнцезащитными устройствами типа жалюзи, тканевыми однотонными шторами светлых тонов, сочетающихся с цветом стен. В нерабочем состоянии шторы необходимо сдвигать в простенки между окнами. Шторы из поливинилхлоридной пленки не используют.</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2.4.2. Искусственное освещение</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2.4.2.1. Искусственное освещение учебных, учебно-производственных и вспомогательных помещений должно соответствовать </w:t>
      </w:r>
      <w:hyperlink r:id="rId21" w:history="1">
        <w:r>
          <w:rPr>
            <w:rFonts w:ascii="Times New Roman" w:hAnsi="Times New Roman" w:cs="Times New Roman"/>
            <w:color w:val="0000FF"/>
            <w:sz w:val="24"/>
            <w:szCs w:val="24"/>
          </w:rPr>
          <w:t>требованиям</w:t>
        </w:r>
      </w:hyperlink>
      <w:r>
        <w:rPr>
          <w:rFonts w:ascii="Times New Roman" w:hAnsi="Times New Roman" w:cs="Times New Roman"/>
          <w:sz w:val="24"/>
          <w:szCs w:val="24"/>
        </w:rPr>
        <w:t>, предъявляемым к естественному и искусственному освещению. Для учебно-производственных помещений дополнительно используются отраслевые нормы искусственного освещения.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Проектируемые установки внутреннего освещения обеспечивают нормируемые уровни освещенности и показатели качества освещения (показатель дискомфорта и коэффициент пульсации).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2.4.2.2. </w:t>
      </w:r>
      <w:proofErr w:type="gramStart"/>
      <w:r>
        <w:rPr>
          <w:rFonts w:ascii="Times New Roman" w:hAnsi="Times New Roman" w:cs="Times New Roman"/>
          <w:sz w:val="24"/>
          <w:szCs w:val="24"/>
        </w:rPr>
        <w:t>В учебных кабинетах, аудиториях, лабораториях уровни освещенности составляют: на рабочих столах - 300 - 500 лк; на классной доске - 500 лк; в кабинетах технического черчения и рисования - 500 лк; в помещениях с ВДТ и ПЭВМ на столах - 300 - 500 лк; в спортивных залах на полу - 200 лк; в рекреациях на полу - 150 лк.</w:t>
      </w:r>
      <w:proofErr w:type="gramEnd"/>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кабинетах технических средств обучения при использовании телевидения и </w:t>
      </w:r>
      <w:proofErr w:type="spellStart"/>
      <w:r>
        <w:rPr>
          <w:rFonts w:ascii="Times New Roman" w:hAnsi="Times New Roman" w:cs="Times New Roman"/>
          <w:sz w:val="24"/>
          <w:szCs w:val="24"/>
        </w:rPr>
        <w:t>графопроекции</w:t>
      </w:r>
      <w:proofErr w:type="spellEnd"/>
      <w:r>
        <w:rPr>
          <w:rFonts w:ascii="Times New Roman" w:hAnsi="Times New Roman" w:cs="Times New Roman"/>
          <w:sz w:val="24"/>
          <w:szCs w:val="24"/>
        </w:rPr>
        <w:t xml:space="preserve"> при необходимости сочетания восприятия информации с экрана с ведением записи освещенность на рабочем столе должна быть не ниже 300 лк.</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Освещенность на рабочем столе при </w:t>
      </w:r>
      <w:proofErr w:type="spellStart"/>
      <w:r>
        <w:rPr>
          <w:rFonts w:ascii="Times New Roman" w:hAnsi="Times New Roman" w:cs="Times New Roman"/>
          <w:sz w:val="24"/>
          <w:szCs w:val="24"/>
        </w:rPr>
        <w:t>диа</w:t>
      </w:r>
      <w:proofErr w:type="spellEnd"/>
      <w:r>
        <w:rPr>
          <w:rFonts w:ascii="Times New Roman" w:hAnsi="Times New Roman" w:cs="Times New Roman"/>
          <w:sz w:val="24"/>
          <w:szCs w:val="24"/>
        </w:rPr>
        <w:t>- и кинопроекции должна быть 500 лк и может быть создана системой "функционального" искусственного освещения с "темным коридором" перед экраном или при использовании одного местного освещения.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2.4.2.3. Абзац исключен. - </w:t>
      </w:r>
      <w:hyperlink r:id="rId22" w:history="1">
        <w:r>
          <w:rPr>
            <w:rFonts w:ascii="Times New Roman" w:hAnsi="Times New Roman" w:cs="Times New Roman"/>
            <w:color w:val="0000FF"/>
            <w:sz w:val="24"/>
            <w:szCs w:val="24"/>
          </w:rPr>
          <w:t>Изменения N 3</w:t>
        </w:r>
      </w:hyperlink>
      <w:r>
        <w:rPr>
          <w:rFonts w:ascii="Times New Roman" w:hAnsi="Times New Roman" w:cs="Times New Roman"/>
          <w:sz w:val="24"/>
          <w:szCs w:val="24"/>
        </w:rPr>
        <w:t>, утв. Постановлением Главного государственного санитарного врача РФ от 04.03.2011 N 17.</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общего освещения учебных помещений (кабинетов, аудиторий, лабораторий) следует использовать люминесцентные светильники: ЛСО02-2х40, ЛПО28-2х40, ЛПО02-2x40, ЛПО46-4х18-005, могут использоваться и другие светильники по типу </w:t>
      </w:r>
      <w:proofErr w:type="gramStart"/>
      <w:r>
        <w:rPr>
          <w:rFonts w:ascii="Times New Roman" w:hAnsi="Times New Roman" w:cs="Times New Roman"/>
          <w:sz w:val="24"/>
          <w:szCs w:val="24"/>
        </w:rPr>
        <w:t>приведенных</w:t>
      </w:r>
      <w:proofErr w:type="gramEnd"/>
      <w:r>
        <w:rPr>
          <w:rFonts w:ascii="Times New Roman" w:hAnsi="Times New Roman" w:cs="Times New Roman"/>
          <w:sz w:val="24"/>
          <w:szCs w:val="24"/>
        </w:rPr>
        <w:t xml:space="preserve"> с аналогичными светотехническими характеристиками и конструктивным исполнением.</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2.4.2.4. Исключен. - </w:t>
      </w:r>
      <w:hyperlink r:id="rId23" w:history="1">
        <w:r>
          <w:rPr>
            <w:rFonts w:ascii="Times New Roman" w:hAnsi="Times New Roman" w:cs="Times New Roman"/>
            <w:color w:val="0000FF"/>
            <w:sz w:val="24"/>
            <w:szCs w:val="24"/>
          </w:rPr>
          <w:t>Изменения N 3</w:t>
        </w:r>
      </w:hyperlink>
      <w:r>
        <w:rPr>
          <w:rFonts w:ascii="Times New Roman" w:hAnsi="Times New Roman" w:cs="Times New Roman"/>
          <w:sz w:val="24"/>
          <w:szCs w:val="24"/>
        </w:rPr>
        <w:t>, утв. Постановлением Главного государственного санитарного врача РФ от 04.03.2011 N 17.</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2.4.2.5. Необходимое количество светильников и их размещение в помещении определяют по светотехническим расчетам с учетом коэффициента запаса в соответствии с </w:t>
      </w:r>
      <w:hyperlink r:id="rId24" w:history="1">
        <w:r>
          <w:rPr>
            <w:rFonts w:ascii="Times New Roman" w:hAnsi="Times New Roman" w:cs="Times New Roman"/>
            <w:color w:val="0000FF"/>
            <w:sz w:val="24"/>
            <w:szCs w:val="24"/>
          </w:rPr>
          <w:t>требованиями</w:t>
        </w:r>
      </w:hyperlink>
      <w:r>
        <w:rPr>
          <w:rFonts w:ascii="Times New Roman" w:hAnsi="Times New Roman" w:cs="Times New Roman"/>
          <w:sz w:val="24"/>
          <w:szCs w:val="24"/>
        </w:rPr>
        <w:t>, предъявляемыми к естественному и искусственному освещению.</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учебных кабинетах светильники с люминесцентными лампами располагают параллельно </w:t>
      </w:r>
      <w:proofErr w:type="spellStart"/>
      <w:r>
        <w:rPr>
          <w:rFonts w:ascii="Times New Roman" w:hAnsi="Times New Roman" w:cs="Times New Roman"/>
          <w:sz w:val="24"/>
          <w:szCs w:val="24"/>
        </w:rPr>
        <w:t>светонесущей</w:t>
      </w:r>
      <w:proofErr w:type="spellEnd"/>
      <w:r>
        <w:rPr>
          <w:rFonts w:ascii="Times New Roman" w:hAnsi="Times New Roman" w:cs="Times New Roman"/>
          <w:sz w:val="24"/>
          <w:szCs w:val="24"/>
        </w:rPr>
        <w:t xml:space="preserve"> стене на расстоянии 1,2 м от наружной стены и 1,5 м - от внутренней. Классную доску оборудуют софитами и освещают двумя светильниками типа ЛПО-30-40-122(125), расположенными выше верхнего края доски на 0,3 м и на расстоянии 0,6 м перед доской в сторону класса.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Предусматривают раздельное включение светильников или отдельных их групп (с учетом расстановки учебного и технологического оборудования).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2.4.2.6. Рабочее искусственное освещение в учебно-производственных мастерских и на предприятиях проектируют двух систем: общее (равномерное и локализованное) и комбинированное (к общему добавляется местное).</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2.4.2.7. При выполнении в помещении работ I - IV разрядов следует применять систему комбинированного освещения. Освещенность рабочей поверхности, создаваемая светильниками общего освещения в системе комбинированного, должна составлять не </w:t>
      </w:r>
      <w:r>
        <w:rPr>
          <w:rFonts w:ascii="Times New Roman" w:hAnsi="Times New Roman" w:cs="Times New Roman"/>
          <w:sz w:val="24"/>
          <w:szCs w:val="24"/>
        </w:rPr>
        <w:lastRenderedPageBreak/>
        <w:t xml:space="preserve">менее 10% в соответствии с </w:t>
      </w:r>
      <w:hyperlink r:id="rId25" w:history="1">
        <w:r>
          <w:rPr>
            <w:rFonts w:ascii="Times New Roman" w:hAnsi="Times New Roman" w:cs="Times New Roman"/>
            <w:color w:val="0000FF"/>
            <w:sz w:val="24"/>
            <w:szCs w:val="24"/>
          </w:rPr>
          <w:t>требованиями</w:t>
        </w:r>
      </w:hyperlink>
      <w:r>
        <w:rPr>
          <w:rFonts w:ascii="Times New Roman" w:hAnsi="Times New Roman" w:cs="Times New Roman"/>
          <w:sz w:val="24"/>
          <w:szCs w:val="24"/>
        </w:rPr>
        <w:t>, предъявляемыми к естественному и искусственному освещению.</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общего освещения в системе комбинированного следует использовать преимущественно люминесцентные лампы независимо от типа источника света местного освещения. Для местного освещения следует применять люминесцентные лампы или лампы накаливания.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2.4.2.8. Уровни освещенности при разных видах работ, выполняемых при производственном обучении подростков, должны соответствовать требованиям, предъявляемым к определенным классам выполняемых работ. Для оптимальных условий выполнения отдельных видов работ рекомендуются уровни освещенности, представленные в </w:t>
      </w:r>
      <w:hyperlink w:anchor="Par555" w:history="1">
        <w:r>
          <w:rPr>
            <w:rFonts w:ascii="Times New Roman" w:hAnsi="Times New Roman" w:cs="Times New Roman"/>
            <w:color w:val="0000FF"/>
            <w:sz w:val="24"/>
            <w:szCs w:val="24"/>
          </w:rPr>
          <w:t>Приложении 1</w:t>
        </w:r>
      </w:hyperlink>
      <w:r>
        <w:rPr>
          <w:rFonts w:ascii="Times New Roman" w:hAnsi="Times New Roman" w:cs="Times New Roman"/>
          <w:sz w:val="24"/>
          <w:szCs w:val="24"/>
        </w:rPr>
        <w:t xml:space="preserve"> настоящих санитарных правил.</w:t>
      </w:r>
    </w:p>
    <w:p w:rsidR="00DF2172" w:rsidRDefault="00DF2172" w:rsidP="00DF217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 2.4.2.8 в ред. </w:t>
      </w:r>
      <w:hyperlink r:id="rId26" w:history="1">
        <w:r>
          <w:rPr>
            <w:rFonts w:ascii="Times New Roman" w:hAnsi="Times New Roman" w:cs="Times New Roman"/>
            <w:color w:val="0000FF"/>
            <w:sz w:val="24"/>
            <w:szCs w:val="24"/>
          </w:rPr>
          <w:t>Изменения N 2</w:t>
        </w:r>
      </w:hyperlink>
      <w:r>
        <w:rPr>
          <w:rFonts w:ascii="Times New Roman" w:hAnsi="Times New Roman" w:cs="Times New Roman"/>
          <w:sz w:val="24"/>
          <w:szCs w:val="24"/>
        </w:rPr>
        <w:t>, утв. Постановлением Главного государственного санитарного врача РФ от 30.09.2009 N 59)</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2.4.2.9. Выбор источника света следует производить с учетом характеристики зрительной работы, уровня освещенности, требований к цветоразличению в соответствии с </w:t>
      </w:r>
      <w:hyperlink r:id="rId27" w:history="1">
        <w:r>
          <w:rPr>
            <w:rFonts w:ascii="Times New Roman" w:hAnsi="Times New Roman" w:cs="Times New Roman"/>
            <w:color w:val="0000FF"/>
            <w:sz w:val="24"/>
            <w:szCs w:val="24"/>
          </w:rPr>
          <w:t>требованиями</w:t>
        </w:r>
      </w:hyperlink>
      <w:r>
        <w:rPr>
          <w:rFonts w:ascii="Times New Roman" w:hAnsi="Times New Roman" w:cs="Times New Roman"/>
          <w:sz w:val="24"/>
          <w:szCs w:val="24"/>
        </w:rPr>
        <w:t>, предъявляемыми к естественному и искусственному освещению.</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2.4.2.10. Для общего и местного освещения производственных помещений со специфическими условиями среды (пыльные, влажные, взрывоопасные, пожароопасные и др.) применяют светильники в соответствии с их назначением и светотехническими характеристиками.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2.4.2.11. Неравномерность освещения (отношение максимальной освещенности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 xml:space="preserve"> минимальной) не должна превышать 1,3 для работ I - III разрядов при люминесцентных лампах; при других источниках света - 1,5; для работ IV - VII разрядов - 1,5 - 2,0 соответственно. Для производственных помещений, в которых выполняются работы I - IV разрядов, следует предусматривать ограничение отраженной </w:t>
      </w:r>
      <w:proofErr w:type="spellStart"/>
      <w:r>
        <w:rPr>
          <w:rFonts w:ascii="Times New Roman" w:hAnsi="Times New Roman" w:cs="Times New Roman"/>
          <w:sz w:val="24"/>
          <w:szCs w:val="24"/>
        </w:rPr>
        <w:t>блескости</w:t>
      </w:r>
      <w:proofErr w:type="spellEnd"/>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2.4.2.12. Очистку от пыли светильников общего освещения следует производить не реже 2-х раз в год; замену перегоревших ламп - по мере выхода из строя. К этой работе </w:t>
      </w:r>
      <w:proofErr w:type="gramStart"/>
      <w:r>
        <w:rPr>
          <w:rFonts w:ascii="Times New Roman" w:hAnsi="Times New Roman" w:cs="Times New Roman"/>
          <w:sz w:val="24"/>
          <w:szCs w:val="24"/>
        </w:rPr>
        <w:t>обучающиеся</w:t>
      </w:r>
      <w:proofErr w:type="gramEnd"/>
      <w:r>
        <w:rPr>
          <w:rFonts w:ascii="Times New Roman" w:hAnsi="Times New Roman" w:cs="Times New Roman"/>
          <w:sz w:val="24"/>
          <w:szCs w:val="24"/>
        </w:rPr>
        <w:t xml:space="preserve"> не привлекаются. Неисправные и перегоревшие люминесцентные лампы собирают и хранят до сдачи в местах, недоступных </w:t>
      </w:r>
      <w:proofErr w:type="gramStart"/>
      <w:r>
        <w:rPr>
          <w:rFonts w:ascii="Times New Roman" w:hAnsi="Times New Roman" w:cs="Times New Roman"/>
          <w:sz w:val="24"/>
          <w:szCs w:val="24"/>
        </w:rPr>
        <w:t>для</w:t>
      </w:r>
      <w:proofErr w:type="gramEnd"/>
      <w:r>
        <w:rPr>
          <w:rFonts w:ascii="Times New Roman" w:hAnsi="Times New Roman" w:cs="Times New Roman"/>
          <w:sz w:val="24"/>
          <w:szCs w:val="24"/>
        </w:rPr>
        <w:t xml:space="preserve"> обучающихся.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2.4.3. Требования к воздушно-тепловому режиму</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2.4.3.1. Отопление, вентиляцию, кондиционирование воздуха в учреждениях НПО следует предусматривать в соответствии с требованиями, предъявляемыми к общественным зданиям и сооружениям.</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2.4.3.2. Удаление воздуха из классов и кабинетов проводится через систему вытяжной вентиляции с естественным побуждением. Через открытые форточки (фрамуги, створки окон) осуществляется проветривание учебного помещения перед занятиями, в каждую перемену, после уроков, а также по окончании учебных занятий. Наибольшая эффективность достигается сквозным проветриванием. Длительность сквозного проветривания определяют погодными условиями. Во время учебных занятий проветриваются рекреационные помещения.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2.4.3.3. Площадь фрамуг и форточек в учебных помещениях составляет не менее 1/50 площади пола. Фрамуги и форточки должны функционировать в любое время года.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2.4.3.4. Подачу приточного воздуха в производственные помещения пищеблока следует предусматривать через обеденный зал. Объем подаваемого воздуха должен составлять не менее 20 м3/час на одно место в обеденном зале.</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2.4.3.5. </w:t>
      </w:r>
      <w:proofErr w:type="gramStart"/>
      <w:r>
        <w:rPr>
          <w:rFonts w:ascii="Times New Roman" w:hAnsi="Times New Roman" w:cs="Times New Roman"/>
          <w:sz w:val="24"/>
          <w:szCs w:val="24"/>
        </w:rPr>
        <w:t>Механическая вытяжная вентиляция предусматривается для следующих групп помещений: учебных кабинетов, лабораторий, актовых залов, бассейнов, столовой, медпункта, гардеробной, киноаппаратной, санитарных узлов, помещений для обработки и хранения уборочного инвентаря.</w:t>
      </w:r>
      <w:proofErr w:type="gramEnd"/>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2.4.3.6. В лабораториях, учебно-производственных мастерских, рабочих местах на предприятиях, где проводится обучение, у станков и механизмов, работа на которых связана с выделением вредных веществ, пыли, повышенного тепла, оборудуется общая и </w:t>
      </w:r>
      <w:r>
        <w:rPr>
          <w:rFonts w:ascii="Times New Roman" w:hAnsi="Times New Roman" w:cs="Times New Roman"/>
          <w:sz w:val="24"/>
          <w:szCs w:val="24"/>
        </w:rPr>
        <w:lastRenderedPageBreak/>
        <w:t>местная механическая вентиляция, обеспечивающая параметры факторов и уровень содержания веще</w:t>
      </w:r>
      <w:proofErr w:type="gramStart"/>
      <w:r>
        <w:rPr>
          <w:rFonts w:ascii="Times New Roman" w:hAnsi="Times New Roman" w:cs="Times New Roman"/>
          <w:sz w:val="24"/>
          <w:szCs w:val="24"/>
        </w:rPr>
        <w:t>ств в пр</w:t>
      </w:r>
      <w:proofErr w:type="gramEnd"/>
      <w:r>
        <w:rPr>
          <w:rFonts w:ascii="Times New Roman" w:hAnsi="Times New Roman" w:cs="Times New Roman"/>
          <w:sz w:val="24"/>
          <w:szCs w:val="24"/>
        </w:rPr>
        <w:t>еделах, не превышающих установленные гигиенические нормативы.</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2.4.3.7. В сварочных мастерских рабочие столы оборудуют местными отсосами </w:t>
      </w:r>
      <w:proofErr w:type="gramStart"/>
      <w:r>
        <w:rPr>
          <w:rFonts w:ascii="Times New Roman" w:hAnsi="Times New Roman" w:cs="Times New Roman"/>
          <w:sz w:val="24"/>
          <w:szCs w:val="24"/>
        </w:rPr>
        <w:t>со</w:t>
      </w:r>
      <w:proofErr w:type="gramEnd"/>
      <w:r>
        <w:rPr>
          <w:rFonts w:ascii="Times New Roman" w:hAnsi="Times New Roman" w:cs="Times New Roman"/>
          <w:sz w:val="24"/>
          <w:szCs w:val="24"/>
        </w:rPr>
        <w:t xml:space="preserve"> всасыванием воздуха в габаритном сечении со скоростью 5 - 6 м/с. Удаление воздуха должно компенсироваться притоком воздуха в полном объеме. Приток воздуха должен осуществляться </w:t>
      </w:r>
      <w:proofErr w:type="spellStart"/>
      <w:r>
        <w:rPr>
          <w:rFonts w:ascii="Times New Roman" w:hAnsi="Times New Roman" w:cs="Times New Roman"/>
          <w:sz w:val="24"/>
          <w:szCs w:val="24"/>
        </w:rPr>
        <w:t>рассредоточенно</w:t>
      </w:r>
      <w:proofErr w:type="spellEnd"/>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2.4.3.8. При электросварке на нефиксированных рабочих местах помещение оборудуют </w:t>
      </w:r>
      <w:proofErr w:type="spellStart"/>
      <w:r>
        <w:rPr>
          <w:rFonts w:ascii="Times New Roman" w:hAnsi="Times New Roman" w:cs="Times New Roman"/>
          <w:sz w:val="24"/>
          <w:szCs w:val="24"/>
        </w:rPr>
        <w:t>общеобменной</w:t>
      </w:r>
      <w:proofErr w:type="spellEnd"/>
      <w:r>
        <w:rPr>
          <w:rFonts w:ascii="Times New Roman" w:hAnsi="Times New Roman" w:cs="Times New Roman"/>
          <w:sz w:val="24"/>
          <w:szCs w:val="24"/>
        </w:rPr>
        <w:t xml:space="preserve"> приточно-вытяжной вентиляцией из расчета воздухообмена по наиболее токсичному компоненту в зависимости от применяемых электродов.</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2.4.3.9. Электромонтажные столы оборудуют местными отсосами на поворотном шарнирном соединении со скоростью в габаритном сечении 5 - 6 м/</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2.4.3.10. Резку металла осуществляют на </w:t>
      </w:r>
      <w:proofErr w:type="spellStart"/>
      <w:r>
        <w:rPr>
          <w:rFonts w:ascii="Times New Roman" w:hAnsi="Times New Roman" w:cs="Times New Roman"/>
          <w:sz w:val="24"/>
          <w:szCs w:val="24"/>
        </w:rPr>
        <w:t>раскроечном</w:t>
      </w:r>
      <w:proofErr w:type="spellEnd"/>
      <w:r>
        <w:rPr>
          <w:rFonts w:ascii="Times New Roman" w:hAnsi="Times New Roman" w:cs="Times New Roman"/>
          <w:sz w:val="24"/>
          <w:szCs w:val="24"/>
        </w:rPr>
        <w:t xml:space="preserve"> столе, имеющем вытяжку снизу из-под решетки из расчета 0,7 м/с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открытой поверхности стола.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2.4.3.11. Помещения монтажных мастерских оборудуют </w:t>
      </w:r>
      <w:proofErr w:type="spellStart"/>
      <w:r>
        <w:rPr>
          <w:rFonts w:ascii="Times New Roman" w:hAnsi="Times New Roman" w:cs="Times New Roman"/>
          <w:sz w:val="24"/>
          <w:szCs w:val="24"/>
        </w:rPr>
        <w:t>общеобменной</w:t>
      </w:r>
      <w:proofErr w:type="spellEnd"/>
      <w:r>
        <w:rPr>
          <w:rFonts w:ascii="Times New Roman" w:hAnsi="Times New Roman" w:cs="Times New Roman"/>
          <w:sz w:val="24"/>
          <w:szCs w:val="24"/>
        </w:rPr>
        <w:t xml:space="preserve"> приточно-вытяжной вентиляцией с кратностью воздухообмена, рассчитанной на количество поступающих вредностей (пыль, газ и тепло).</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2.4.3.12. Температура воздуха в учебных кабинетах, лабораториях должна составлять 18 - 20 град. С при обычном остеклении, 19 - 21 град. С при ленточном остеклении;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учебных мастерских - 15 - 17 град.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актовом зале, лекционной аудитории, классе пения и музыки, клубной комнате - 18 - 20 град.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дисплейных классах должна соблюдаться оптимальная температура воздуха в пределах 19 - 21 град. С, допустимая 18 - 22 град.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при относительной влажности соответственно 62 - 55% и 39 - 31%;</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спортивном зале и комнатах для проведения секционных занятий - 15 - 17 град. С, в раздевалке при спортивном зале - 19 - 23 град. С, в медицинских кабинетах - 21 - 23 град.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библиотеке, в помещениях абонемента, в комнате обработки и комплектования книг - 17 - 21 град.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жилых комнатах общежития - 18 - 20 град.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умывальных - 20 - 23 град. С, в душевых - не ниже 25 град. С, в вестибюле и гардеробе - 16 - 19 град. С.</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2.4.3.13. Величины показателей микроклимата в производственных помещениях, где проходят практику обучающиеся, не должны превышать допустимых параметров в соответствии с гигиеническими требованиями к воздуху рабочей зоны. При наличии теплового облучения температура воздуха на рабочих местах обучающихся не должна превышать параметры оптимальных значений для теплого периода года.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2.4.3.14. Производственная практика в условиях открытых площадок в холодное время года не должна проводиться при параметрах микроклимата, указанных в табл. 5.</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right"/>
        <w:outlineLvl w:val="3"/>
        <w:rPr>
          <w:rFonts w:ascii="Times New Roman" w:hAnsi="Times New Roman" w:cs="Times New Roman"/>
          <w:sz w:val="24"/>
          <w:szCs w:val="24"/>
        </w:rPr>
      </w:pPr>
      <w:r>
        <w:rPr>
          <w:rFonts w:ascii="Times New Roman" w:hAnsi="Times New Roman" w:cs="Times New Roman"/>
          <w:sz w:val="24"/>
          <w:szCs w:val="24"/>
        </w:rPr>
        <w:t>Таблица 5</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Микроклиматические условия, при которых не проводится</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производственная практика</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3480"/>
        <w:gridCol w:w="4560"/>
      </w:tblGrid>
      <w:tr w:rsidR="00DF2172">
        <w:tblPrEx>
          <w:tblCellMar>
            <w:top w:w="0" w:type="dxa"/>
            <w:bottom w:w="0" w:type="dxa"/>
          </w:tblCellMar>
        </w:tblPrEx>
        <w:trPr>
          <w:tblCellSpacing w:w="5" w:type="nil"/>
        </w:trPr>
        <w:tc>
          <w:tcPr>
            <w:tcW w:w="3480" w:type="dxa"/>
            <w:tcBorders>
              <w:top w:val="single" w:sz="4" w:space="0" w:color="auto"/>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Температура, град. </w:t>
            </w:r>
            <w:proofErr w:type="gramStart"/>
            <w:r>
              <w:rPr>
                <w:rFonts w:ascii="Courier New" w:hAnsi="Courier New" w:cs="Courier New"/>
                <w:sz w:val="20"/>
                <w:szCs w:val="20"/>
              </w:rPr>
              <w:t>С</w:t>
            </w:r>
            <w:proofErr w:type="gramEnd"/>
            <w:r>
              <w:rPr>
                <w:rFonts w:ascii="Courier New" w:hAnsi="Courier New" w:cs="Courier New"/>
                <w:sz w:val="20"/>
                <w:szCs w:val="20"/>
              </w:rPr>
              <w:t xml:space="preserve">    </w:t>
            </w:r>
          </w:p>
        </w:tc>
        <w:tc>
          <w:tcPr>
            <w:tcW w:w="4560" w:type="dxa"/>
            <w:tcBorders>
              <w:top w:val="single" w:sz="4" w:space="0" w:color="auto"/>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Скорость движения воздуха, м/</w:t>
            </w:r>
            <w:proofErr w:type="gramStart"/>
            <w:r>
              <w:rPr>
                <w:rFonts w:ascii="Courier New" w:hAnsi="Courier New" w:cs="Courier New"/>
                <w:sz w:val="20"/>
                <w:szCs w:val="20"/>
              </w:rPr>
              <w:t>с</w:t>
            </w:r>
            <w:proofErr w:type="gramEnd"/>
            <w:r>
              <w:rPr>
                <w:rFonts w:ascii="Courier New" w:hAnsi="Courier New" w:cs="Courier New"/>
                <w:sz w:val="20"/>
                <w:szCs w:val="20"/>
              </w:rPr>
              <w:t xml:space="preserve">   </w:t>
            </w:r>
          </w:p>
        </w:tc>
      </w:tr>
      <w:tr w:rsidR="00DF2172">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-25            </w:t>
            </w:r>
          </w:p>
        </w:tc>
        <w:tc>
          <w:tcPr>
            <w:tcW w:w="45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2,0 - 2,5             </w:t>
            </w:r>
          </w:p>
        </w:tc>
      </w:tr>
      <w:tr w:rsidR="00DF2172">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-20            </w:t>
            </w:r>
          </w:p>
        </w:tc>
        <w:tc>
          <w:tcPr>
            <w:tcW w:w="45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3,5 - 4,0             </w:t>
            </w:r>
          </w:p>
        </w:tc>
      </w:tr>
      <w:tr w:rsidR="00DF2172">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-15            </w:t>
            </w:r>
          </w:p>
        </w:tc>
        <w:tc>
          <w:tcPr>
            <w:tcW w:w="45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4,5 - 5,0             </w:t>
            </w:r>
          </w:p>
        </w:tc>
      </w:tr>
      <w:tr w:rsidR="00DF2172">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-10            </w:t>
            </w:r>
          </w:p>
        </w:tc>
        <w:tc>
          <w:tcPr>
            <w:tcW w:w="45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6,0 - 6,5             </w:t>
            </w:r>
          </w:p>
        </w:tc>
      </w:tr>
      <w:tr w:rsidR="00DF2172">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-5             </w:t>
            </w:r>
          </w:p>
        </w:tc>
        <w:tc>
          <w:tcPr>
            <w:tcW w:w="45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7,0 - 7,5             </w:t>
            </w:r>
          </w:p>
        </w:tc>
      </w:tr>
      <w:tr w:rsidR="00DF2172">
        <w:tblPrEx>
          <w:tblCellMar>
            <w:top w:w="0" w:type="dxa"/>
            <w:bottom w:w="0" w:type="dxa"/>
          </w:tblCellMar>
        </w:tblPrEx>
        <w:trPr>
          <w:tblCellSpacing w:w="5" w:type="nil"/>
        </w:trPr>
        <w:tc>
          <w:tcPr>
            <w:tcW w:w="348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0             </w:t>
            </w:r>
          </w:p>
        </w:tc>
        <w:tc>
          <w:tcPr>
            <w:tcW w:w="45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8,0 - 9,5             </w:t>
            </w:r>
          </w:p>
        </w:tc>
      </w:tr>
    </w:tbl>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2.4.4. Шум и вибрация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2.4.4.1. </w:t>
      </w:r>
      <w:proofErr w:type="gramStart"/>
      <w:r>
        <w:rPr>
          <w:rFonts w:ascii="Times New Roman" w:hAnsi="Times New Roman" w:cs="Times New Roman"/>
          <w:sz w:val="24"/>
          <w:szCs w:val="24"/>
        </w:rPr>
        <w:t>В целях уменьшения влияния шума на обучающихся необходимо применять комплекс мероприятий по защите от шума.</w:t>
      </w:r>
      <w:proofErr w:type="gramEnd"/>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2.4.4.2. При согласовании проектов учреждений НПО проектные организации должны представить акустические расчеты по снижению шума в учебных помещениях, включая время реверберации (затухания звука).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2.4.4.3. Время реверберации в помещениях для теоретических занятий, мастерских, спортивном зале, столовой не должно превышать 1 секунды. Частотная характеристика времени реверберации в диапазоне 250 - 400 Гц должна быть ровной, а на частоте 125 Гц спад времени реверберации должен быть не более 15%.</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2.4.4.4. Спортивный зал, мастерские следует выделять в отдельный блок или пристройки к учебно-теоретическому корпусу.</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2.4.4.5. Учебные кабинеты не проектируют над и под спортивным залом, над и под мастерскими, если процесс производственного обучения сопровождается шумом и вибрацией.</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2.4.4.6. Одну мастерскую от другой отделяют сплошной перегородкой с повышенной звукоизолирующей способностью или вспомогательными помещениями (инструментальной, помещением для заготовок и т.п.).</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2.4.4.7. В рекреационных помещениях, в спортивном зале, учебных кабинетах, мастерских и других помещениях с повышенными уровнями шума потолок следует облицовывать звукопоглощающими материалами (типа </w:t>
      </w:r>
      <w:proofErr w:type="spellStart"/>
      <w:r>
        <w:rPr>
          <w:rFonts w:ascii="Times New Roman" w:hAnsi="Times New Roman" w:cs="Times New Roman"/>
          <w:sz w:val="24"/>
          <w:szCs w:val="24"/>
        </w:rPr>
        <w:t>акмигран</w:t>
      </w:r>
      <w:proofErr w:type="spellEnd"/>
      <w:r>
        <w:rPr>
          <w:rFonts w:ascii="Times New Roman" w:hAnsi="Times New Roman" w:cs="Times New Roman"/>
          <w:sz w:val="24"/>
          <w:szCs w:val="24"/>
        </w:rPr>
        <w:t>, перфорированной плиткой или перфорированными панелями и др.) с максимальным поглощением звука в диапазоне частот 63 - 8000 Гц.</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помещениях, где выполняются работы, сопровождающиеся шумом, стены не облицовывают </w:t>
      </w:r>
      <w:proofErr w:type="spellStart"/>
      <w:r>
        <w:rPr>
          <w:rFonts w:ascii="Times New Roman" w:hAnsi="Times New Roman" w:cs="Times New Roman"/>
          <w:sz w:val="24"/>
          <w:szCs w:val="24"/>
        </w:rPr>
        <w:t>звукоотражающими</w:t>
      </w:r>
      <w:proofErr w:type="spellEnd"/>
      <w:r>
        <w:rPr>
          <w:rFonts w:ascii="Times New Roman" w:hAnsi="Times New Roman" w:cs="Times New Roman"/>
          <w:sz w:val="24"/>
          <w:szCs w:val="24"/>
        </w:rPr>
        <w:t xml:space="preserve"> материалами (керамические плитки и др.) и не окрашивают масляными красками.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2.4.4.8. При расположении учебных кабинетов и кабинетов педагогического персонала </w:t>
      </w:r>
      <w:proofErr w:type="spellStart"/>
      <w:r>
        <w:rPr>
          <w:rFonts w:ascii="Times New Roman" w:hAnsi="Times New Roman" w:cs="Times New Roman"/>
          <w:sz w:val="24"/>
          <w:szCs w:val="24"/>
        </w:rPr>
        <w:t>смежно</w:t>
      </w:r>
      <w:proofErr w:type="spellEnd"/>
      <w:r>
        <w:rPr>
          <w:rFonts w:ascii="Times New Roman" w:hAnsi="Times New Roman" w:cs="Times New Roman"/>
          <w:sz w:val="24"/>
          <w:szCs w:val="24"/>
        </w:rPr>
        <w:t xml:space="preserve"> или в непосредственной близости от помещений мастерских, учебных цехов предъявляют повышенные требования к конструктивным решениям в отношении звукоизоляции. Вход в кабинет оборудуют тамбуром с установкой двойных дверей с прокладками (резиновыми или другими), способствующими их плотному притвору.</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Двери всех учебных кабинетов, мастерских и производственных помещений плотно закрывают.</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2.4.4.9. В спортивном зале физкультурные мостики, предназначенные для отталкивания при прыжках, должны иметь амортизирующие прокладки (резиновые, войлочные или из другого материала). Занятия двух групп в одном спортивном зале одновременно не проводят.</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2.4.4.10. Комплектовать мастерские следует оборудованием, шумовые характеристики которого отвечают гигиеническим требованиям. В документах на оборудование должны содержаться сведения по частотной характеристике уровней звукового давления в октавных полосах со среднегеометрическим значением от 62,5 до 8000 Гц и уровней звука холостого хода станка.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2.4.4.11. Тяжелое оборудование (агрегаты, станки и пр.) устанавливают на первых этажах на специальном фундаменте, не связанном с фундаментом здания. При невозможности использования фундаментов под станки их устанавливают на амортизирующие прокладки или специальные пружинные приспособления. Настольные станки устанавливают на амортизирующие прокладки.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2.4.4.12. С целью предупреждения повышенного </w:t>
      </w:r>
      <w:proofErr w:type="spellStart"/>
      <w:r>
        <w:rPr>
          <w:rFonts w:ascii="Times New Roman" w:hAnsi="Times New Roman" w:cs="Times New Roman"/>
          <w:sz w:val="24"/>
          <w:szCs w:val="24"/>
        </w:rPr>
        <w:t>шумообразования</w:t>
      </w:r>
      <w:proofErr w:type="spellEnd"/>
      <w:r>
        <w:rPr>
          <w:rFonts w:ascii="Times New Roman" w:hAnsi="Times New Roman" w:cs="Times New Roman"/>
          <w:sz w:val="24"/>
          <w:szCs w:val="24"/>
        </w:rPr>
        <w:t xml:space="preserve"> следует контролировать своевременный ремонт станков и их замену.</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2.4.4.13. При организации производственного обучения подростков следует руководствоваться гигиеническими критериями допустимых условий и видов работ для </w:t>
      </w:r>
      <w:r>
        <w:rPr>
          <w:rFonts w:ascii="Times New Roman" w:hAnsi="Times New Roman" w:cs="Times New Roman"/>
          <w:sz w:val="24"/>
          <w:szCs w:val="24"/>
        </w:rPr>
        <w:lastRenderedPageBreak/>
        <w:t>профессионального обучения и труда подростков и указаниями по профилактике неблагоприятного воздействия производственного шума на организм подростков.</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2.4.4.14. Пребывание подростков в условиях шума, превышающего нормируемый уровень, ограничивается (табл. 6):</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right"/>
        <w:outlineLvl w:val="3"/>
        <w:rPr>
          <w:rFonts w:ascii="Times New Roman" w:hAnsi="Times New Roman" w:cs="Times New Roman"/>
          <w:sz w:val="24"/>
          <w:szCs w:val="24"/>
        </w:rPr>
      </w:pPr>
      <w:r>
        <w:rPr>
          <w:rFonts w:ascii="Times New Roman" w:hAnsi="Times New Roman" w:cs="Times New Roman"/>
          <w:sz w:val="24"/>
          <w:szCs w:val="24"/>
        </w:rPr>
        <w:t>Таблица 6</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3960"/>
        <w:gridCol w:w="2160"/>
        <w:gridCol w:w="2040"/>
      </w:tblGrid>
      <w:tr w:rsidR="00DF2172">
        <w:tblPrEx>
          <w:tblCellMar>
            <w:top w:w="0" w:type="dxa"/>
            <w:bottom w:w="0" w:type="dxa"/>
          </w:tblCellMar>
        </w:tblPrEx>
        <w:trPr>
          <w:tblCellSpacing w:w="5" w:type="nil"/>
        </w:trPr>
        <w:tc>
          <w:tcPr>
            <w:tcW w:w="3960" w:type="dxa"/>
            <w:tcBorders>
              <w:top w:val="single" w:sz="4" w:space="0" w:color="auto"/>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Уровни звука LA и эквивалентные</w:t>
            </w:r>
          </w:p>
        </w:tc>
        <w:tc>
          <w:tcPr>
            <w:tcW w:w="4200" w:type="dxa"/>
            <w:gridSpan w:val="2"/>
            <w:tcBorders>
              <w:top w:val="single" w:sz="4" w:space="0" w:color="auto"/>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Возраст (года)        </w:t>
            </w:r>
          </w:p>
        </w:tc>
      </w:tr>
      <w:tr w:rsidR="00DF2172">
        <w:tblPrEx>
          <w:tblCellMar>
            <w:top w:w="0" w:type="dxa"/>
            <w:bottom w:w="0" w:type="dxa"/>
          </w:tblCellMar>
        </w:tblPrEx>
        <w:trPr>
          <w:tblCellSpacing w:w="5" w:type="nil"/>
        </w:trPr>
        <w:tc>
          <w:tcPr>
            <w:tcW w:w="39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Уровни звука LA </w:t>
            </w:r>
            <w:proofErr w:type="spellStart"/>
            <w:r>
              <w:rPr>
                <w:rFonts w:ascii="Courier New" w:hAnsi="Courier New" w:cs="Courier New"/>
                <w:sz w:val="20"/>
                <w:szCs w:val="20"/>
              </w:rPr>
              <w:t>экв</w:t>
            </w:r>
            <w:proofErr w:type="spellEnd"/>
            <w:r>
              <w:rPr>
                <w:rFonts w:ascii="Courier New" w:hAnsi="Courier New" w:cs="Courier New"/>
                <w:sz w:val="20"/>
                <w:szCs w:val="20"/>
              </w:rPr>
              <w:t xml:space="preserve">., </w:t>
            </w:r>
            <w:proofErr w:type="spellStart"/>
            <w:r>
              <w:rPr>
                <w:rFonts w:ascii="Courier New" w:hAnsi="Courier New" w:cs="Courier New"/>
                <w:sz w:val="20"/>
                <w:szCs w:val="20"/>
              </w:rPr>
              <w:t>дБА</w:t>
            </w:r>
            <w:proofErr w:type="spellEnd"/>
            <w:r>
              <w:rPr>
                <w:rFonts w:ascii="Courier New" w:hAnsi="Courier New" w:cs="Courier New"/>
                <w:sz w:val="20"/>
                <w:szCs w:val="20"/>
              </w:rPr>
              <w:t xml:space="preserve">    </w:t>
            </w:r>
          </w:p>
        </w:tc>
        <w:tc>
          <w:tcPr>
            <w:tcW w:w="21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14 - 15 лет   </w:t>
            </w:r>
          </w:p>
        </w:tc>
        <w:tc>
          <w:tcPr>
            <w:tcW w:w="20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16 - 18 лет  </w:t>
            </w:r>
          </w:p>
        </w:tc>
      </w:tr>
      <w:tr w:rsidR="00DF2172">
        <w:tblPrEx>
          <w:tblCellMar>
            <w:top w:w="0" w:type="dxa"/>
            <w:bottom w:w="0" w:type="dxa"/>
          </w:tblCellMar>
        </w:tblPrEx>
        <w:trPr>
          <w:tblCellSpacing w:w="5" w:type="nil"/>
        </w:trPr>
        <w:tc>
          <w:tcPr>
            <w:tcW w:w="39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70               </w:t>
            </w:r>
          </w:p>
        </w:tc>
        <w:tc>
          <w:tcPr>
            <w:tcW w:w="21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4 часа     </w:t>
            </w:r>
          </w:p>
        </w:tc>
        <w:tc>
          <w:tcPr>
            <w:tcW w:w="20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6 часов    </w:t>
            </w:r>
          </w:p>
        </w:tc>
      </w:tr>
      <w:tr w:rsidR="00DF2172">
        <w:tblPrEx>
          <w:tblCellMar>
            <w:top w:w="0" w:type="dxa"/>
            <w:bottom w:w="0" w:type="dxa"/>
          </w:tblCellMar>
        </w:tblPrEx>
        <w:trPr>
          <w:tblCellSpacing w:w="5" w:type="nil"/>
        </w:trPr>
        <w:tc>
          <w:tcPr>
            <w:tcW w:w="39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75               </w:t>
            </w:r>
          </w:p>
        </w:tc>
        <w:tc>
          <w:tcPr>
            <w:tcW w:w="21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3,5 часа   </w:t>
            </w:r>
          </w:p>
        </w:tc>
        <w:tc>
          <w:tcPr>
            <w:tcW w:w="20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5 часов    </w:t>
            </w:r>
          </w:p>
        </w:tc>
      </w:tr>
      <w:tr w:rsidR="00DF2172">
        <w:tblPrEx>
          <w:tblCellMar>
            <w:top w:w="0" w:type="dxa"/>
            <w:bottom w:w="0" w:type="dxa"/>
          </w:tblCellMar>
        </w:tblPrEx>
        <w:trPr>
          <w:tblCellSpacing w:w="5" w:type="nil"/>
        </w:trPr>
        <w:tc>
          <w:tcPr>
            <w:tcW w:w="39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80               </w:t>
            </w:r>
          </w:p>
        </w:tc>
        <w:tc>
          <w:tcPr>
            <w:tcW w:w="21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3 часа     </w:t>
            </w:r>
          </w:p>
        </w:tc>
        <w:tc>
          <w:tcPr>
            <w:tcW w:w="20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4 часа     </w:t>
            </w:r>
          </w:p>
        </w:tc>
      </w:tr>
      <w:tr w:rsidR="00DF2172">
        <w:tblPrEx>
          <w:tblCellMar>
            <w:top w:w="0" w:type="dxa"/>
            <w:bottom w:w="0" w:type="dxa"/>
          </w:tblCellMar>
        </w:tblPrEx>
        <w:trPr>
          <w:tblCellSpacing w:w="5" w:type="nil"/>
        </w:trPr>
        <w:tc>
          <w:tcPr>
            <w:tcW w:w="39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85               </w:t>
            </w:r>
          </w:p>
        </w:tc>
        <w:tc>
          <w:tcPr>
            <w:tcW w:w="21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2 часа     </w:t>
            </w:r>
          </w:p>
        </w:tc>
        <w:tc>
          <w:tcPr>
            <w:tcW w:w="20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3 часа     </w:t>
            </w:r>
          </w:p>
        </w:tc>
      </w:tr>
      <w:tr w:rsidR="00DF2172">
        <w:tblPrEx>
          <w:tblCellMar>
            <w:top w:w="0" w:type="dxa"/>
            <w:bottom w:w="0" w:type="dxa"/>
          </w:tblCellMar>
        </w:tblPrEx>
        <w:trPr>
          <w:tblCellSpacing w:w="5" w:type="nil"/>
        </w:trPr>
        <w:tc>
          <w:tcPr>
            <w:tcW w:w="39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90               </w:t>
            </w:r>
          </w:p>
        </w:tc>
        <w:tc>
          <w:tcPr>
            <w:tcW w:w="21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1 час      </w:t>
            </w:r>
          </w:p>
        </w:tc>
        <w:tc>
          <w:tcPr>
            <w:tcW w:w="20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2 часа     </w:t>
            </w:r>
          </w:p>
        </w:tc>
      </w:tr>
    </w:tbl>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Примечание. 1. По истечении допустимого времени работы в условиях шума подростков переводят на другую работу вне действия повышенных для подростков уровней шума.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При работах в условиях шума, превышающего 70 </w:t>
      </w:r>
      <w:proofErr w:type="spellStart"/>
      <w:r>
        <w:rPr>
          <w:rFonts w:ascii="Times New Roman" w:hAnsi="Times New Roman" w:cs="Times New Roman"/>
          <w:sz w:val="24"/>
          <w:szCs w:val="24"/>
        </w:rPr>
        <w:t>дБА</w:t>
      </w:r>
      <w:proofErr w:type="spellEnd"/>
      <w:r>
        <w:rPr>
          <w:rFonts w:ascii="Times New Roman" w:hAnsi="Times New Roman" w:cs="Times New Roman"/>
          <w:sz w:val="24"/>
          <w:szCs w:val="24"/>
        </w:rPr>
        <w:t>, необходимо вводить 15-минутные перерывы через 45 минут работы с отдыхом в нешумном помещении.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При импульсном шуме длительность работы соответственно возрасту должна быть на порядок ниже значений, указанных в таблице, т.е. при </w:t>
      </w:r>
      <w:proofErr w:type="spellStart"/>
      <w:proofErr w:type="gramStart"/>
      <w:r>
        <w:rPr>
          <w:rFonts w:ascii="Times New Roman" w:hAnsi="Times New Roman" w:cs="Times New Roman"/>
          <w:sz w:val="24"/>
          <w:szCs w:val="24"/>
        </w:rPr>
        <w:t>L</w:t>
      </w:r>
      <w:proofErr w:type="gramEnd"/>
      <w:r>
        <w:rPr>
          <w:rFonts w:ascii="Times New Roman" w:hAnsi="Times New Roman" w:cs="Times New Roman"/>
          <w:sz w:val="24"/>
          <w:szCs w:val="24"/>
        </w:rPr>
        <w:t>экв.I</w:t>
      </w:r>
      <w:proofErr w:type="spellEnd"/>
      <w:r>
        <w:rPr>
          <w:rFonts w:ascii="Times New Roman" w:hAnsi="Times New Roman" w:cs="Times New Roman"/>
          <w:sz w:val="24"/>
          <w:szCs w:val="24"/>
        </w:rPr>
        <w:t xml:space="preserve"> = 70 </w:t>
      </w:r>
      <w:proofErr w:type="spellStart"/>
      <w:r>
        <w:rPr>
          <w:rFonts w:ascii="Times New Roman" w:hAnsi="Times New Roman" w:cs="Times New Roman"/>
          <w:sz w:val="24"/>
          <w:szCs w:val="24"/>
        </w:rPr>
        <w:t>дБАI</w:t>
      </w:r>
      <w:proofErr w:type="spellEnd"/>
      <w:r>
        <w:rPr>
          <w:rFonts w:ascii="Times New Roman" w:hAnsi="Times New Roman" w:cs="Times New Roman"/>
          <w:sz w:val="24"/>
          <w:szCs w:val="24"/>
        </w:rPr>
        <w:t xml:space="preserve"> для 14 - 15-летних - 3,5 ч и т.д.</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Пребывание подростков в условиях шума больше времени, указанного в таблице, без применения средств защиты не допускается.</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2.4.4.15. При невозможности проведения мероприятий по снижению производственного шума до допустимых уровней (70 </w:t>
      </w:r>
      <w:proofErr w:type="spellStart"/>
      <w:r>
        <w:rPr>
          <w:rFonts w:ascii="Times New Roman" w:hAnsi="Times New Roman" w:cs="Times New Roman"/>
          <w:sz w:val="24"/>
          <w:szCs w:val="24"/>
        </w:rPr>
        <w:t>дБА</w:t>
      </w:r>
      <w:proofErr w:type="spellEnd"/>
      <w:r>
        <w:rPr>
          <w:rFonts w:ascii="Times New Roman" w:hAnsi="Times New Roman" w:cs="Times New Roman"/>
          <w:sz w:val="24"/>
          <w:szCs w:val="24"/>
        </w:rPr>
        <w:t>) используют средства коллективной (</w:t>
      </w:r>
      <w:proofErr w:type="spellStart"/>
      <w:r>
        <w:rPr>
          <w:rFonts w:ascii="Times New Roman" w:hAnsi="Times New Roman" w:cs="Times New Roman"/>
          <w:sz w:val="24"/>
          <w:szCs w:val="24"/>
        </w:rPr>
        <w:t>звукоизолированные</w:t>
      </w:r>
      <w:proofErr w:type="spellEnd"/>
      <w:r>
        <w:rPr>
          <w:rFonts w:ascii="Times New Roman" w:hAnsi="Times New Roman" w:cs="Times New Roman"/>
          <w:sz w:val="24"/>
          <w:szCs w:val="24"/>
        </w:rPr>
        <w:t xml:space="preserve"> кабины и дистанционное управление и др.) и индивидуальной (</w:t>
      </w:r>
      <w:proofErr w:type="spellStart"/>
      <w:r>
        <w:rPr>
          <w:rFonts w:ascii="Times New Roman" w:hAnsi="Times New Roman" w:cs="Times New Roman"/>
          <w:sz w:val="24"/>
          <w:szCs w:val="24"/>
        </w:rPr>
        <w:t>противошумные</w:t>
      </w:r>
      <w:proofErr w:type="spellEnd"/>
      <w:r>
        <w:rPr>
          <w:rFonts w:ascii="Times New Roman" w:hAnsi="Times New Roman" w:cs="Times New Roman"/>
          <w:sz w:val="24"/>
          <w:szCs w:val="24"/>
        </w:rPr>
        <w:t xml:space="preserve"> наушники, </w:t>
      </w:r>
      <w:proofErr w:type="spellStart"/>
      <w:r>
        <w:rPr>
          <w:rFonts w:ascii="Times New Roman" w:hAnsi="Times New Roman" w:cs="Times New Roman"/>
          <w:sz w:val="24"/>
          <w:szCs w:val="24"/>
        </w:rPr>
        <w:t>противошумные</w:t>
      </w:r>
      <w:proofErr w:type="spellEnd"/>
      <w:r>
        <w:rPr>
          <w:rFonts w:ascii="Times New Roman" w:hAnsi="Times New Roman" w:cs="Times New Roman"/>
          <w:sz w:val="24"/>
          <w:szCs w:val="24"/>
        </w:rPr>
        <w:t xml:space="preserve"> вкладыши, </w:t>
      </w:r>
      <w:proofErr w:type="spellStart"/>
      <w:r>
        <w:rPr>
          <w:rFonts w:ascii="Times New Roman" w:hAnsi="Times New Roman" w:cs="Times New Roman"/>
          <w:sz w:val="24"/>
          <w:szCs w:val="24"/>
        </w:rPr>
        <w:t>противошумные</w:t>
      </w:r>
      <w:proofErr w:type="spellEnd"/>
      <w:r>
        <w:rPr>
          <w:rFonts w:ascii="Times New Roman" w:hAnsi="Times New Roman" w:cs="Times New Roman"/>
          <w:sz w:val="24"/>
          <w:szCs w:val="24"/>
        </w:rPr>
        <w:t xml:space="preserve"> шлемы, каски) защиты.</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2.4.4.16. Уровни общей вибрации в учебных помещениях для теоретических занятий, включая лекционные аудитории, конференц-зал, читальный зал библиотек, не должны превышать значений, указанных в таблице.</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right"/>
        <w:outlineLvl w:val="3"/>
        <w:rPr>
          <w:rFonts w:ascii="Times New Roman" w:hAnsi="Times New Roman" w:cs="Times New Roman"/>
          <w:sz w:val="24"/>
          <w:szCs w:val="24"/>
        </w:rPr>
      </w:pPr>
      <w:r>
        <w:rPr>
          <w:rFonts w:ascii="Times New Roman" w:hAnsi="Times New Roman" w:cs="Times New Roman"/>
          <w:sz w:val="24"/>
          <w:szCs w:val="24"/>
        </w:rPr>
        <w:t>Таблица 7</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Допустимые значения вибрации по </w:t>
      </w:r>
      <w:proofErr w:type="spellStart"/>
      <w:r>
        <w:rPr>
          <w:rFonts w:ascii="Times New Roman" w:hAnsi="Times New Roman" w:cs="Times New Roman"/>
          <w:sz w:val="24"/>
          <w:szCs w:val="24"/>
        </w:rPr>
        <w:t>виброскорости</w:t>
      </w:r>
      <w:proofErr w:type="spellEnd"/>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 учебных помещениях</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2640"/>
        <w:gridCol w:w="2520"/>
        <w:gridCol w:w="3000"/>
      </w:tblGrid>
      <w:tr w:rsidR="00DF2172">
        <w:tblPrEx>
          <w:tblCellMar>
            <w:top w:w="0" w:type="dxa"/>
            <w:bottom w:w="0" w:type="dxa"/>
          </w:tblCellMar>
        </w:tblPrEx>
        <w:trPr>
          <w:trHeight w:val="600"/>
          <w:tblCellSpacing w:w="5" w:type="nil"/>
        </w:trPr>
        <w:tc>
          <w:tcPr>
            <w:tcW w:w="2640" w:type="dxa"/>
            <w:tcBorders>
              <w:top w:val="single" w:sz="4" w:space="0" w:color="auto"/>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Среднегеометрические</w:t>
            </w:r>
            <w:r>
              <w:rPr>
                <w:rFonts w:ascii="Courier New" w:hAnsi="Courier New" w:cs="Courier New"/>
                <w:sz w:val="20"/>
                <w:szCs w:val="20"/>
              </w:rPr>
              <w:br/>
              <w:t xml:space="preserve"> частоты полос, </w:t>
            </w:r>
            <w:proofErr w:type="gramStart"/>
            <w:r>
              <w:rPr>
                <w:rFonts w:ascii="Courier New" w:hAnsi="Courier New" w:cs="Courier New"/>
                <w:sz w:val="20"/>
                <w:szCs w:val="20"/>
              </w:rPr>
              <w:t>ГЦ</w:t>
            </w:r>
            <w:proofErr w:type="gramEnd"/>
            <w:r>
              <w:rPr>
                <w:rFonts w:ascii="Courier New" w:hAnsi="Courier New" w:cs="Courier New"/>
                <w:sz w:val="20"/>
                <w:szCs w:val="20"/>
              </w:rPr>
              <w:t xml:space="preserve">  </w:t>
            </w:r>
          </w:p>
        </w:tc>
        <w:tc>
          <w:tcPr>
            <w:tcW w:w="2520" w:type="dxa"/>
            <w:tcBorders>
              <w:top w:val="single" w:sz="4" w:space="0" w:color="auto"/>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Допустимые значения</w:t>
            </w:r>
            <w:r>
              <w:rPr>
                <w:rFonts w:ascii="Courier New" w:hAnsi="Courier New" w:cs="Courier New"/>
                <w:sz w:val="20"/>
                <w:szCs w:val="20"/>
              </w:rPr>
              <w:br/>
              <w:t>по осям X, Y, Z, дБ</w:t>
            </w:r>
          </w:p>
        </w:tc>
        <w:tc>
          <w:tcPr>
            <w:tcW w:w="3000" w:type="dxa"/>
            <w:tcBorders>
              <w:top w:val="single" w:sz="4" w:space="0" w:color="auto"/>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Корректированные и э</w:t>
            </w:r>
            <w:proofErr w:type="gramStart"/>
            <w:r>
              <w:rPr>
                <w:rFonts w:ascii="Courier New" w:hAnsi="Courier New" w:cs="Courier New"/>
                <w:sz w:val="20"/>
                <w:szCs w:val="20"/>
              </w:rPr>
              <w:t>к-</w:t>
            </w:r>
            <w:proofErr w:type="gramEnd"/>
            <w:r>
              <w:rPr>
                <w:rFonts w:ascii="Courier New" w:hAnsi="Courier New" w:cs="Courier New"/>
                <w:sz w:val="20"/>
                <w:szCs w:val="20"/>
              </w:rPr>
              <w:t xml:space="preserve"> </w:t>
            </w:r>
            <w:r>
              <w:rPr>
                <w:rFonts w:ascii="Courier New" w:hAnsi="Courier New" w:cs="Courier New"/>
                <w:sz w:val="20"/>
                <w:szCs w:val="20"/>
              </w:rPr>
              <w:br/>
            </w:r>
            <w:proofErr w:type="spellStart"/>
            <w:r>
              <w:rPr>
                <w:rFonts w:ascii="Courier New" w:hAnsi="Courier New" w:cs="Courier New"/>
                <w:sz w:val="20"/>
                <w:szCs w:val="20"/>
              </w:rPr>
              <w:t>вивалентные</w:t>
            </w:r>
            <w:proofErr w:type="spellEnd"/>
            <w:r>
              <w:rPr>
                <w:rFonts w:ascii="Courier New" w:hAnsi="Courier New" w:cs="Courier New"/>
                <w:sz w:val="20"/>
                <w:szCs w:val="20"/>
              </w:rPr>
              <w:t xml:space="preserve"> </w:t>
            </w:r>
            <w:proofErr w:type="spellStart"/>
            <w:r>
              <w:rPr>
                <w:rFonts w:ascii="Courier New" w:hAnsi="Courier New" w:cs="Courier New"/>
                <w:sz w:val="20"/>
                <w:szCs w:val="20"/>
              </w:rPr>
              <w:t>корректиро</w:t>
            </w:r>
            <w:proofErr w:type="spellEnd"/>
            <w:r>
              <w:rPr>
                <w:rFonts w:ascii="Courier New" w:hAnsi="Courier New" w:cs="Courier New"/>
                <w:sz w:val="20"/>
                <w:szCs w:val="20"/>
              </w:rPr>
              <w:t>-</w:t>
            </w:r>
            <w:r>
              <w:rPr>
                <w:rFonts w:ascii="Courier New" w:hAnsi="Courier New" w:cs="Courier New"/>
                <w:sz w:val="20"/>
                <w:szCs w:val="20"/>
              </w:rPr>
              <w:br/>
              <w:t xml:space="preserve">ванные значения, дБ    </w:t>
            </w:r>
          </w:p>
        </w:tc>
      </w:tr>
      <w:tr w:rsidR="00DF2172">
        <w:tblPrEx>
          <w:tblCellMar>
            <w:top w:w="0" w:type="dxa"/>
            <w:bottom w:w="0" w:type="dxa"/>
          </w:tblCellMar>
        </w:tblPrEx>
        <w:trPr>
          <w:trHeight w:val="400"/>
          <w:tblCellSpacing w:w="5" w:type="nil"/>
        </w:trPr>
        <w:tc>
          <w:tcPr>
            <w:tcW w:w="26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2         </w:t>
            </w:r>
          </w:p>
        </w:tc>
        <w:tc>
          <w:tcPr>
            <w:tcW w:w="25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81        </w:t>
            </w:r>
          </w:p>
        </w:tc>
        <w:tc>
          <w:tcPr>
            <w:tcW w:w="3000" w:type="dxa"/>
            <w:vMerge w:val="restart"/>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br/>
            </w:r>
            <w:r>
              <w:rPr>
                <w:rFonts w:ascii="Courier New" w:hAnsi="Courier New" w:cs="Courier New"/>
                <w:sz w:val="20"/>
                <w:szCs w:val="20"/>
              </w:rPr>
              <w:br/>
            </w:r>
            <w:r>
              <w:rPr>
                <w:rFonts w:ascii="Courier New" w:hAnsi="Courier New" w:cs="Courier New"/>
                <w:sz w:val="20"/>
                <w:szCs w:val="20"/>
              </w:rPr>
              <w:br/>
            </w:r>
            <w:r>
              <w:rPr>
                <w:rFonts w:ascii="Courier New" w:hAnsi="Courier New" w:cs="Courier New"/>
                <w:sz w:val="20"/>
                <w:szCs w:val="20"/>
              </w:rPr>
              <w:br/>
              <w:t xml:space="preserve">           72          </w:t>
            </w:r>
          </w:p>
        </w:tc>
      </w:tr>
      <w:tr w:rsidR="00DF2172">
        <w:tblPrEx>
          <w:tblCellMar>
            <w:top w:w="0" w:type="dxa"/>
            <w:bottom w:w="0" w:type="dxa"/>
          </w:tblCellMar>
        </w:tblPrEx>
        <w:trPr>
          <w:trHeight w:val="400"/>
          <w:tblCellSpacing w:w="5" w:type="nil"/>
        </w:trPr>
        <w:tc>
          <w:tcPr>
            <w:tcW w:w="26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4         </w:t>
            </w:r>
          </w:p>
        </w:tc>
        <w:tc>
          <w:tcPr>
            <w:tcW w:w="25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76        </w:t>
            </w:r>
          </w:p>
        </w:tc>
        <w:tc>
          <w:tcPr>
            <w:tcW w:w="3000" w:type="dxa"/>
            <w:vMerge/>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p>
        </w:tc>
      </w:tr>
      <w:tr w:rsidR="00DF2172">
        <w:tblPrEx>
          <w:tblCellMar>
            <w:top w:w="0" w:type="dxa"/>
            <w:bottom w:w="0" w:type="dxa"/>
          </w:tblCellMar>
        </w:tblPrEx>
        <w:trPr>
          <w:trHeight w:val="400"/>
          <w:tblCellSpacing w:w="5" w:type="nil"/>
        </w:trPr>
        <w:tc>
          <w:tcPr>
            <w:tcW w:w="26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8         </w:t>
            </w:r>
          </w:p>
        </w:tc>
        <w:tc>
          <w:tcPr>
            <w:tcW w:w="25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72        </w:t>
            </w:r>
          </w:p>
        </w:tc>
        <w:tc>
          <w:tcPr>
            <w:tcW w:w="3000" w:type="dxa"/>
            <w:vMerge/>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p>
        </w:tc>
      </w:tr>
      <w:tr w:rsidR="00DF2172">
        <w:tblPrEx>
          <w:tblCellMar>
            <w:top w:w="0" w:type="dxa"/>
            <w:bottom w:w="0" w:type="dxa"/>
          </w:tblCellMar>
        </w:tblPrEx>
        <w:trPr>
          <w:trHeight w:val="400"/>
          <w:tblCellSpacing w:w="5" w:type="nil"/>
        </w:trPr>
        <w:tc>
          <w:tcPr>
            <w:tcW w:w="26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16        </w:t>
            </w:r>
          </w:p>
        </w:tc>
        <w:tc>
          <w:tcPr>
            <w:tcW w:w="25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72        </w:t>
            </w:r>
          </w:p>
        </w:tc>
        <w:tc>
          <w:tcPr>
            <w:tcW w:w="3000" w:type="dxa"/>
            <w:vMerge/>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p>
        </w:tc>
      </w:tr>
      <w:tr w:rsidR="00DF2172">
        <w:tblPrEx>
          <w:tblCellMar>
            <w:top w:w="0" w:type="dxa"/>
            <w:bottom w:w="0" w:type="dxa"/>
          </w:tblCellMar>
        </w:tblPrEx>
        <w:trPr>
          <w:trHeight w:val="400"/>
          <w:tblCellSpacing w:w="5" w:type="nil"/>
        </w:trPr>
        <w:tc>
          <w:tcPr>
            <w:tcW w:w="26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31,5      </w:t>
            </w:r>
          </w:p>
        </w:tc>
        <w:tc>
          <w:tcPr>
            <w:tcW w:w="25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72        </w:t>
            </w:r>
          </w:p>
        </w:tc>
        <w:tc>
          <w:tcPr>
            <w:tcW w:w="3000" w:type="dxa"/>
            <w:vMerge/>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p>
        </w:tc>
      </w:tr>
      <w:tr w:rsidR="00DF2172">
        <w:tblPrEx>
          <w:tblCellMar>
            <w:top w:w="0" w:type="dxa"/>
            <w:bottom w:w="0" w:type="dxa"/>
          </w:tblCellMar>
        </w:tblPrEx>
        <w:trPr>
          <w:tblCellSpacing w:w="5" w:type="nil"/>
        </w:trPr>
        <w:tc>
          <w:tcPr>
            <w:tcW w:w="26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63        </w:t>
            </w:r>
          </w:p>
        </w:tc>
        <w:tc>
          <w:tcPr>
            <w:tcW w:w="25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72        </w:t>
            </w:r>
          </w:p>
        </w:tc>
        <w:tc>
          <w:tcPr>
            <w:tcW w:w="3000" w:type="dxa"/>
            <w:vMerge/>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p>
        </w:tc>
      </w:tr>
    </w:tbl>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2.4.4.17. В период производственной практики уровни технологической вибрации категории 3 на рабочих местах должны соответствовать предельно допустимым значениям. Время работы в таких условиях для подростков, достигших 16 лет, не должно быть более 4 часов в день.</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2.4.4.18. При прохождении производственной практики на транспортных и транспортно-технологических машинах, </w:t>
      </w:r>
      <w:proofErr w:type="gramStart"/>
      <w:r>
        <w:rPr>
          <w:rFonts w:ascii="Times New Roman" w:hAnsi="Times New Roman" w:cs="Times New Roman"/>
          <w:sz w:val="24"/>
          <w:szCs w:val="24"/>
        </w:rPr>
        <w:t>уровни</w:t>
      </w:r>
      <w:proofErr w:type="gramEnd"/>
      <w:r>
        <w:rPr>
          <w:rFonts w:ascii="Times New Roman" w:hAnsi="Times New Roman" w:cs="Times New Roman"/>
          <w:sz w:val="24"/>
          <w:szCs w:val="24"/>
        </w:rPr>
        <w:t xml:space="preserve"> вибрации которых не превышают нормативные (1 и 2 категории вибрации), подростки, достигшие 16 лет, могут обучаться не более 4 часов в день.</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 уровнях вибрации указанных категорий, достигающих значения класса условий труда 3.1, время производственного обучения ограничивается до 1 часа за рабочий день.</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2.4.4.19. В период производственной практики при уровне локальной вибрации, соответствующей нормативным значениям, подростки, достигшие 16-ти лет, могут обучаться не более 4-х часов в день.</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 уровнях локальной вибрации, достигающих значения класса условий труда 3.1, суммарное время обучения (на оборудовании, являющемся источником локальной вибрации) ограничивается до 1 часа в день.</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2.4.4.20. Производственная практика подростков, не достигших 18 лет, в условиях воздействия транспортной, транспортно-технологической и локальной вибрации не допускается во вредных условиях труда выше 3 класса 1 степени вредности.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2.4.5. Выбор рабочих мест для производственного обучения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2.4.5.1. Производственное обучение и практику на первом году обучения проводят преимущественно в мастерских учреждений НПО или учебных цехах, отвечающих гигиеническим требованиям, с широким использованием тренажеров, полигонов и технических средств обучения.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2.4.5.2. При отсутствии в учреждении НПО необходимой базы производственное обучение может быть организовано в организациях при обеспечении условий, отвечающих нормативным требованиям для подростков, за исключением подготовки по профессиям, входящим в </w:t>
      </w:r>
      <w:hyperlink r:id="rId28" w:history="1">
        <w:r>
          <w:rPr>
            <w:rFonts w:ascii="Times New Roman" w:hAnsi="Times New Roman" w:cs="Times New Roman"/>
            <w:color w:val="0000FF"/>
            <w:sz w:val="24"/>
            <w:szCs w:val="24"/>
          </w:rPr>
          <w:t>перечень</w:t>
        </w:r>
      </w:hyperlink>
      <w:r>
        <w:rPr>
          <w:rFonts w:ascii="Times New Roman" w:hAnsi="Times New Roman" w:cs="Times New Roman"/>
          <w:sz w:val="24"/>
          <w:szCs w:val="24"/>
        </w:rPr>
        <w:t xml:space="preserve"> тяжелых работ и работ с вредными или опасными условиями труда, при выполнении которых запрещается применение труда лиц моложе 18 лет.</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bookmarkStart w:id="2" w:name="Par431"/>
      <w:bookmarkEnd w:id="2"/>
      <w:r>
        <w:rPr>
          <w:rFonts w:ascii="Times New Roman" w:hAnsi="Times New Roman" w:cs="Times New Roman"/>
          <w:sz w:val="24"/>
          <w:szCs w:val="24"/>
        </w:rPr>
        <w:t xml:space="preserve">2.4.5.3. </w:t>
      </w:r>
      <w:proofErr w:type="gramStart"/>
      <w:r>
        <w:rPr>
          <w:rFonts w:ascii="Times New Roman" w:hAnsi="Times New Roman" w:cs="Times New Roman"/>
          <w:sz w:val="24"/>
          <w:szCs w:val="24"/>
        </w:rPr>
        <w:t xml:space="preserve">Производственная практика на организациях различных отраслей промышленности по профессиям, входящим в вышеупомянутый </w:t>
      </w:r>
      <w:hyperlink r:id="rId29" w:history="1">
        <w:r>
          <w:rPr>
            <w:rFonts w:ascii="Times New Roman" w:hAnsi="Times New Roman" w:cs="Times New Roman"/>
            <w:color w:val="0000FF"/>
            <w:sz w:val="24"/>
            <w:szCs w:val="24"/>
          </w:rPr>
          <w:t>перечень</w:t>
        </w:r>
      </w:hyperlink>
      <w:r>
        <w:rPr>
          <w:rFonts w:ascii="Times New Roman" w:hAnsi="Times New Roman" w:cs="Times New Roman"/>
          <w:sz w:val="24"/>
          <w:szCs w:val="24"/>
        </w:rPr>
        <w:t>, допускается для обучающихся не моложе 16-летнего возраста при условии:</w:t>
      </w:r>
      <w:proofErr w:type="gramEnd"/>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ограничения продолжительности рабочего дня обучающихся (не более половины рабочего дня взрослых рабочих);</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исключения отдельных видов работ и условий, запрещенных для применения труда несовершеннолетних;</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при условиях труда, не превышающих по параметрам условий класса 3.1 согласно гигиеническим критериям оценки и классификации условий труда.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2.4.5.4. Для производственного обучения выделяют специальные участки или рабочие места с наиболее современной технологией и закрытыми производственными процессами, высоким уровнем механизации, отвечающие требованиям санитарных норм и правил для соответствующих отраслей, требованиям техники безопасности и охраны труда.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2.4.5.5. Обучающихся не используют на подсобных работах, не входящих в программу профессиональной подготовки, а также связанных с постоянным переносом и передвижением тяжести.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2.4.5.6. </w:t>
      </w:r>
      <w:proofErr w:type="gramStart"/>
      <w:r>
        <w:rPr>
          <w:rFonts w:ascii="Times New Roman" w:hAnsi="Times New Roman" w:cs="Times New Roman"/>
          <w:sz w:val="24"/>
          <w:szCs w:val="24"/>
        </w:rPr>
        <w:t>Исключен</w:t>
      </w:r>
      <w:proofErr w:type="gramEnd"/>
      <w:r>
        <w:rPr>
          <w:rFonts w:ascii="Times New Roman" w:hAnsi="Times New Roman" w:cs="Times New Roman"/>
          <w:sz w:val="24"/>
          <w:szCs w:val="24"/>
        </w:rPr>
        <w:t xml:space="preserve"> с 1 июля 2007 года. - </w:t>
      </w:r>
      <w:hyperlink r:id="rId30" w:history="1">
        <w:r>
          <w:rPr>
            <w:rFonts w:ascii="Times New Roman" w:hAnsi="Times New Roman" w:cs="Times New Roman"/>
            <w:color w:val="0000FF"/>
            <w:sz w:val="24"/>
            <w:szCs w:val="24"/>
          </w:rPr>
          <w:t>Изменение N 1</w:t>
        </w:r>
      </w:hyperlink>
      <w:r>
        <w:rPr>
          <w:rFonts w:ascii="Times New Roman" w:hAnsi="Times New Roman" w:cs="Times New Roman"/>
          <w:sz w:val="24"/>
          <w:szCs w:val="24"/>
        </w:rPr>
        <w:t>, утвержденное Постановлением Главного государственного санитарного врача РФ от 28.04.2007 N 24.</w:t>
      </w:r>
    </w:p>
    <w:p w:rsidR="00DF2172" w:rsidRDefault="00DF2172" w:rsidP="00DF2172">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2.5. Требования к санитарно-бытовому обеспечению</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2.5.1. Содержание помещений и участка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2.5.1.1. Все помещения учреждений НПО и участок содержат в порядке и чистоте: в кабинетах, классах, лабораториях, аудиториях и других помещениях проводят ежедневную влажную уборку при открытых окнах или фрамугах и форточках (в зависимости от погодных условий).</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2.5.1.2. Генеральную уборку помещений проводят один раз в месяц с применением не только моющих средств, но и дезинфицирующих средств. Для этих целей используют разрешенные в установленном </w:t>
      </w:r>
      <w:hyperlink r:id="rId31" w:history="1">
        <w:r>
          <w:rPr>
            <w:rFonts w:ascii="Times New Roman" w:hAnsi="Times New Roman" w:cs="Times New Roman"/>
            <w:color w:val="0000FF"/>
            <w:sz w:val="24"/>
            <w:szCs w:val="24"/>
          </w:rPr>
          <w:t>порядке</w:t>
        </w:r>
      </w:hyperlink>
      <w:r>
        <w:rPr>
          <w:rFonts w:ascii="Times New Roman" w:hAnsi="Times New Roman" w:cs="Times New Roman"/>
          <w:sz w:val="24"/>
          <w:szCs w:val="24"/>
        </w:rPr>
        <w:t xml:space="preserve"> дезинфицирующие средства.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2.5.1.3. Очистку стекол, рам и оконных проемов проводят 2 раза в течение учебного года.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2.5.1.4. </w:t>
      </w:r>
      <w:proofErr w:type="gramStart"/>
      <w:r>
        <w:rPr>
          <w:rFonts w:ascii="Times New Roman" w:hAnsi="Times New Roman" w:cs="Times New Roman"/>
          <w:sz w:val="24"/>
          <w:szCs w:val="24"/>
        </w:rPr>
        <w:t>Уборку кабинетов, лабораторий, аудиторий и других помещений осуществляют после последнего звонка, коридоров и рекреационных помещений - после каждой из перемен; обеденного зала - после каждого приема пищи; вестибюля и гардероба - после начала занятий и по мере их загрязнения в течение дня; актовый зал, комнаты кружковых занятий и административно-хозяйственные помещения - в конце дня, а также по мере необходимости.</w:t>
      </w:r>
      <w:proofErr w:type="gramEnd"/>
      <w:r>
        <w:rPr>
          <w:rFonts w:ascii="Times New Roman" w:hAnsi="Times New Roman" w:cs="Times New Roman"/>
          <w:sz w:val="24"/>
          <w:szCs w:val="24"/>
        </w:rPr>
        <w:t xml:space="preserve"> Проветривание и влажную уборку спортивного зала осуществляют после каждого урока. Очистку матов (выколачивание) следует проводить на открытом воздухе не реже одного раза в неделю и ежедневно чистить пылесосом (или протирать влажной тряпкой).</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2.5.1.5. Уборку туалетов и умывальных комнат осуществляют ежедневно. Полы моют теплой водой с применением </w:t>
      </w:r>
      <w:proofErr w:type="gramStart"/>
      <w:r>
        <w:rPr>
          <w:rFonts w:ascii="Times New Roman" w:hAnsi="Times New Roman" w:cs="Times New Roman"/>
          <w:sz w:val="24"/>
          <w:szCs w:val="24"/>
        </w:rPr>
        <w:t>моющих</w:t>
      </w:r>
      <w:proofErr w:type="gramEnd"/>
      <w:r>
        <w:rPr>
          <w:rFonts w:ascii="Times New Roman" w:hAnsi="Times New Roman" w:cs="Times New Roman"/>
          <w:sz w:val="24"/>
          <w:szCs w:val="24"/>
        </w:rPr>
        <w:t xml:space="preserve"> и </w:t>
      </w:r>
      <w:proofErr w:type="spellStart"/>
      <w:r>
        <w:rPr>
          <w:rFonts w:ascii="Times New Roman" w:hAnsi="Times New Roman" w:cs="Times New Roman"/>
          <w:sz w:val="24"/>
          <w:szCs w:val="24"/>
        </w:rPr>
        <w:t>дезсредств</w:t>
      </w:r>
      <w:proofErr w:type="spellEnd"/>
      <w:r>
        <w:rPr>
          <w:rFonts w:ascii="Times New Roman" w:hAnsi="Times New Roman" w:cs="Times New Roman"/>
          <w:sz w:val="24"/>
          <w:szCs w:val="24"/>
        </w:rPr>
        <w:t xml:space="preserve"> после каждой перемены в училище; в общежитии - в течение дня по мере загрязнения. Унитазы ежедневно моют теплой водой с </w:t>
      </w:r>
      <w:proofErr w:type="gramStart"/>
      <w:r>
        <w:rPr>
          <w:rFonts w:ascii="Times New Roman" w:hAnsi="Times New Roman" w:cs="Times New Roman"/>
          <w:sz w:val="24"/>
          <w:szCs w:val="24"/>
        </w:rPr>
        <w:t>моющими</w:t>
      </w:r>
      <w:proofErr w:type="gramEnd"/>
      <w:r>
        <w:rPr>
          <w:rFonts w:ascii="Times New Roman" w:hAnsi="Times New Roman" w:cs="Times New Roman"/>
          <w:sz w:val="24"/>
          <w:szCs w:val="24"/>
        </w:rPr>
        <w:t xml:space="preserve"> и </w:t>
      </w:r>
      <w:proofErr w:type="spellStart"/>
      <w:r>
        <w:rPr>
          <w:rFonts w:ascii="Times New Roman" w:hAnsi="Times New Roman" w:cs="Times New Roman"/>
          <w:sz w:val="24"/>
          <w:szCs w:val="24"/>
        </w:rPr>
        <w:t>дезсредствами</w:t>
      </w:r>
      <w:proofErr w:type="spellEnd"/>
      <w:r>
        <w:rPr>
          <w:rFonts w:ascii="Times New Roman" w:hAnsi="Times New Roman" w:cs="Times New Roman"/>
          <w:sz w:val="24"/>
          <w:szCs w:val="24"/>
        </w:rPr>
        <w:t xml:space="preserve">. С целью удаления мочекислых солей раз в неделю следует мыть унитазы щетками с использованием средств, содержащих соляную кислоту (санитарный, </w:t>
      </w:r>
      <w:proofErr w:type="spellStart"/>
      <w:r>
        <w:rPr>
          <w:rFonts w:ascii="Times New Roman" w:hAnsi="Times New Roman" w:cs="Times New Roman"/>
          <w:sz w:val="24"/>
          <w:szCs w:val="24"/>
        </w:rPr>
        <w:t>санита</w:t>
      </w:r>
      <w:proofErr w:type="spellEnd"/>
      <w:r>
        <w:rPr>
          <w:rFonts w:ascii="Times New Roman" w:hAnsi="Times New Roman" w:cs="Times New Roman"/>
          <w:sz w:val="24"/>
          <w:szCs w:val="24"/>
        </w:rPr>
        <w:t xml:space="preserve"> и др.), с последующим обильным промыванием их водой.</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2.5.1.6. К мытью туалетов обучающихся не привлекают.</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2.5.1.7. Уборочный инвентарь (тряпки, ведра, щетки) маркируют и хранят в отведенных для этих целей помещениях. После уборки весь инвентарь следует промыть горячей водой, используя при этом моющие средства.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2.5.1.8. Для сбора бытовых отходов на дворовой территории устанавливают на бетонированных площадках мусоросборники принятого для данной местности типа. Осуществляют регулярный вывоз твердых бытовых отходов.</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2.5.1.9. Участок учреждений НПО систематически убирают: летом дорожки, тротуары, проезды поливают и подметают; зимой - освобождают от снега и льда.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2.5.1.10. Спортивную зону участка содержат в чистоте и по мере необходимости убирают.</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2.5.1.11. Ранней весной и поздней осенью осуществляют уборку территории, вырубку сухих деревьев и веток, молодой поросли. Территорию не </w:t>
      </w:r>
      <w:proofErr w:type="gramStart"/>
      <w:r>
        <w:rPr>
          <w:rFonts w:ascii="Times New Roman" w:hAnsi="Times New Roman" w:cs="Times New Roman"/>
          <w:sz w:val="24"/>
          <w:szCs w:val="24"/>
        </w:rPr>
        <w:t>захламляют</w:t>
      </w:r>
      <w:proofErr w:type="gramEnd"/>
      <w:r>
        <w:rPr>
          <w:rFonts w:ascii="Times New Roman" w:hAnsi="Times New Roman" w:cs="Times New Roman"/>
          <w:sz w:val="24"/>
          <w:szCs w:val="24"/>
        </w:rPr>
        <w:t xml:space="preserve"> и не устраивают склады в неположенном месте.</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2.5.1.12. Косметический ремонт с использованием лакокрасочных веществ и капитальный ремонт не производят при функционировании учреждения НПО.</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2.5.2. Санитарно-бытовое обеспечение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во время производственного обучения и практики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2.5.2.1. В учебно-производственных мастерских должен быть организован питьевой режим, обеспечивающий безопасность качества питьевой воды, которая должна отвечать </w:t>
      </w:r>
      <w:hyperlink r:id="rId32" w:history="1">
        <w:r>
          <w:rPr>
            <w:rFonts w:ascii="Times New Roman" w:hAnsi="Times New Roman" w:cs="Times New Roman"/>
            <w:color w:val="0000FF"/>
            <w:sz w:val="24"/>
            <w:szCs w:val="24"/>
          </w:rPr>
          <w:t>требованиям</w:t>
        </w:r>
      </w:hyperlink>
      <w:r>
        <w:rPr>
          <w:rFonts w:ascii="Times New Roman" w:hAnsi="Times New Roman" w:cs="Times New Roman"/>
          <w:sz w:val="24"/>
          <w:szCs w:val="24"/>
        </w:rPr>
        <w:t xml:space="preserve"> санитарных норм.</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2.5.2.2. Учебно-производственные мастерские обеспечивают обычными или специальными моющими (очищающими) средствами, щетками, полотенцами или заменяющими их устройствами, а также средствами индивидуальной защиты в соответствии с профилем осваиваемой специальности.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2.5.2.3. Учебно-производственные мастерские обеспечивают аптечками, необходимыми для оказания первой помощи, перевязочными средствами, носилками с </w:t>
      </w:r>
      <w:r>
        <w:rPr>
          <w:rFonts w:ascii="Times New Roman" w:hAnsi="Times New Roman" w:cs="Times New Roman"/>
          <w:sz w:val="24"/>
          <w:szCs w:val="24"/>
        </w:rPr>
        <w:lastRenderedPageBreak/>
        <w:t>зафиксированным адресом и телефоном ближайшего лечебного учреждения, где может быть оказана медицинская помощь.</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2.5.2.4. Обучение и инструктаж обучающихся следует проводить с учетом возрастных особенностей подростков, учитывая склонность к недооценке потенциально опасных ситуаций и отсутствие необходимых навыков и опыта. Ответственность за своевременный и полный инструктаж по охране труда и технике безопасности обучающихся на рабочих местах несет администрация учебных заведений и предприятий.</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2.5.2.5. При прохождении производственной практики обучающиеся выполняют правила производственной санитарии и гигиены, предусмотренные отраслевыми санитарными правилами и правилами по охране труда и технике безопасности.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2.5.2.6. Во время прохождения производственной практики обучающихся обеспечивают индивидуальными средствами защиты: спецодеждой, </w:t>
      </w:r>
      <w:proofErr w:type="spellStart"/>
      <w:r>
        <w:rPr>
          <w:rFonts w:ascii="Times New Roman" w:hAnsi="Times New Roman" w:cs="Times New Roman"/>
          <w:sz w:val="24"/>
          <w:szCs w:val="24"/>
        </w:rPr>
        <w:t>спецобувью</w:t>
      </w:r>
      <w:proofErr w:type="spellEnd"/>
      <w:r>
        <w:rPr>
          <w:rFonts w:ascii="Times New Roman" w:hAnsi="Times New Roman" w:cs="Times New Roman"/>
          <w:sz w:val="24"/>
          <w:szCs w:val="24"/>
        </w:rPr>
        <w:t xml:space="preserve">, очками, масками, </w:t>
      </w:r>
      <w:proofErr w:type="spellStart"/>
      <w:r>
        <w:rPr>
          <w:rFonts w:ascii="Times New Roman" w:hAnsi="Times New Roman" w:cs="Times New Roman"/>
          <w:sz w:val="24"/>
          <w:szCs w:val="24"/>
        </w:rPr>
        <w:t>противошумами</w:t>
      </w:r>
      <w:proofErr w:type="spellEnd"/>
      <w:r>
        <w:rPr>
          <w:rFonts w:ascii="Times New Roman" w:hAnsi="Times New Roman" w:cs="Times New Roman"/>
          <w:sz w:val="24"/>
          <w:szCs w:val="24"/>
        </w:rPr>
        <w:t xml:space="preserve">, шлемами, касками и др. - по </w:t>
      </w:r>
      <w:hyperlink r:id="rId33" w:history="1">
        <w:r>
          <w:rPr>
            <w:rFonts w:ascii="Times New Roman" w:hAnsi="Times New Roman" w:cs="Times New Roman"/>
            <w:color w:val="0000FF"/>
            <w:sz w:val="24"/>
            <w:szCs w:val="24"/>
          </w:rPr>
          <w:t>нормам</w:t>
        </w:r>
      </w:hyperlink>
      <w:r>
        <w:rPr>
          <w:rFonts w:ascii="Times New Roman" w:hAnsi="Times New Roman" w:cs="Times New Roman"/>
          <w:sz w:val="24"/>
          <w:szCs w:val="24"/>
        </w:rPr>
        <w:t>, установленным для рабочих данных профессий. Обучающихся не допускают к работе без соответствующей спецодежды и предохранительных приспособлений.</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2.5.2.7. При прохождении производственной практики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обеспечивают моющими средствами, а также средствами, применяемыми для защиты и очищения кожи по </w:t>
      </w:r>
      <w:hyperlink r:id="rId34" w:history="1">
        <w:r>
          <w:rPr>
            <w:rFonts w:ascii="Times New Roman" w:hAnsi="Times New Roman" w:cs="Times New Roman"/>
            <w:color w:val="0000FF"/>
            <w:sz w:val="24"/>
            <w:szCs w:val="24"/>
          </w:rPr>
          <w:t>нормам</w:t>
        </w:r>
      </w:hyperlink>
      <w:r>
        <w:rPr>
          <w:rFonts w:ascii="Times New Roman" w:hAnsi="Times New Roman" w:cs="Times New Roman"/>
          <w:sz w:val="24"/>
          <w:szCs w:val="24"/>
        </w:rPr>
        <w:t>, установленным для работающих.</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2.5.2.8. При прохождении производственной практики на штатном рабочем месте в организациях с наличием производственных вредностей обучающиеся должны пользоваться, как и кадровые рабочие, предусмотренным питанием, медицинским обслуживанием и т.д.</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2.5.2.9. Во время прохождения производственной практики обучающиеся имеют доступ ко всем санитарно-бытовым помещениям организации (гардеробные, бельевые, душевые, туалеты, комнаты личной гигиены женщин, столовые, помещения для обогрева и отдыха, медицинский кабинет и др.).</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2.5.2.10. Условия прохождения производственной практики документально фиксируются в договоре между администрацией учреждения НПО и организацией.</w:t>
      </w:r>
    </w:p>
    <w:p w:rsidR="00DF2172" w:rsidRDefault="00DF2172" w:rsidP="00DF2172">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2.6. Требования к организации учебно-производственного процесса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Построение гигиенически рационального учебно-производственного процесса основывается на соответствии суммарной учебно-производственной нагрузки возрастным особенностям и возможностям организма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Оптимальный режим, обеспечивающий высокую работоспособность, сохранение и укрепление здоровья, предусматривает необходимое чередование труда и отдыха, смену различных видов деятельности, определенную длительность учебы и работы для подростков разного возраста с учетом условий обучения, эффективное использование свободного времени, средств физического воспитания и т.д.</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2.6.1. Требования к организации учебно-производственных занятий</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2.6.1.1. Учебная нагрузка обучающихся должна быть дифференцирована с учетом продолжительности учебной недели и курса обучения и не должна превышать объемов, представленных в таблице 7:</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7</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1080"/>
        <w:gridCol w:w="3720"/>
        <w:gridCol w:w="3360"/>
      </w:tblGrid>
      <w:tr w:rsidR="00DF2172">
        <w:tblPrEx>
          <w:tblCellMar>
            <w:top w:w="0" w:type="dxa"/>
            <w:bottom w:w="0" w:type="dxa"/>
          </w:tblCellMar>
        </w:tblPrEx>
        <w:trPr>
          <w:trHeight w:val="600"/>
          <w:tblCellSpacing w:w="5" w:type="nil"/>
        </w:trPr>
        <w:tc>
          <w:tcPr>
            <w:tcW w:w="1080" w:type="dxa"/>
            <w:vMerge w:val="restart"/>
            <w:tcBorders>
              <w:top w:val="single" w:sz="4" w:space="0" w:color="auto"/>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Курсы  </w:t>
            </w:r>
          </w:p>
        </w:tc>
        <w:tc>
          <w:tcPr>
            <w:tcW w:w="7080" w:type="dxa"/>
            <w:gridSpan w:val="2"/>
            <w:tcBorders>
              <w:top w:val="single" w:sz="4" w:space="0" w:color="auto"/>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Максимально допустимая недельная нагрузка       </w:t>
            </w:r>
            <w:r>
              <w:rPr>
                <w:rFonts w:ascii="Courier New" w:hAnsi="Courier New" w:cs="Courier New"/>
                <w:sz w:val="20"/>
                <w:szCs w:val="20"/>
              </w:rPr>
              <w:br/>
              <w:t xml:space="preserve">                  в академических часах                 </w:t>
            </w:r>
          </w:p>
        </w:tc>
      </w:tr>
      <w:tr w:rsidR="00DF2172">
        <w:tblPrEx>
          <w:tblCellMar>
            <w:top w:w="0" w:type="dxa"/>
            <w:bottom w:w="0" w:type="dxa"/>
          </w:tblCellMar>
        </w:tblPrEx>
        <w:trPr>
          <w:trHeight w:val="400"/>
          <w:tblCellSpacing w:w="5" w:type="nil"/>
        </w:trPr>
        <w:tc>
          <w:tcPr>
            <w:tcW w:w="1080" w:type="dxa"/>
            <w:vMerge/>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p>
        </w:tc>
        <w:tc>
          <w:tcPr>
            <w:tcW w:w="37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при 6-дневной учебной    </w:t>
            </w:r>
            <w:r>
              <w:rPr>
                <w:rFonts w:ascii="Courier New" w:hAnsi="Courier New" w:cs="Courier New"/>
                <w:sz w:val="20"/>
                <w:szCs w:val="20"/>
              </w:rPr>
              <w:br/>
              <w:t xml:space="preserve">           неделе            </w:t>
            </w:r>
          </w:p>
        </w:tc>
        <w:tc>
          <w:tcPr>
            <w:tcW w:w="33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при 5-дневной учебной  </w:t>
            </w:r>
            <w:r>
              <w:rPr>
                <w:rFonts w:ascii="Courier New" w:hAnsi="Courier New" w:cs="Courier New"/>
                <w:sz w:val="20"/>
                <w:szCs w:val="20"/>
              </w:rPr>
              <w:br/>
              <w:t xml:space="preserve">           неделе         </w:t>
            </w:r>
          </w:p>
        </w:tc>
      </w:tr>
      <w:tr w:rsidR="00DF2172">
        <w:tblPrEx>
          <w:tblCellMar>
            <w:top w:w="0" w:type="dxa"/>
            <w:bottom w:w="0" w:type="dxa"/>
          </w:tblCellMar>
        </w:tblPrEx>
        <w:trPr>
          <w:tblCellSpacing w:w="5" w:type="nil"/>
        </w:trPr>
        <w:tc>
          <w:tcPr>
            <w:tcW w:w="108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1 курс </w:t>
            </w:r>
          </w:p>
        </w:tc>
        <w:tc>
          <w:tcPr>
            <w:tcW w:w="37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35              </w:t>
            </w:r>
          </w:p>
        </w:tc>
        <w:tc>
          <w:tcPr>
            <w:tcW w:w="33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33 - 34        </w:t>
            </w:r>
          </w:p>
        </w:tc>
      </w:tr>
      <w:tr w:rsidR="00DF2172">
        <w:tblPrEx>
          <w:tblCellMar>
            <w:top w:w="0" w:type="dxa"/>
            <w:bottom w:w="0" w:type="dxa"/>
          </w:tblCellMar>
        </w:tblPrEx>
        <w:trPr>
          <w:tblCellSpacing w:w="5" w:type="nil"/>
        </w:trPr>
        <w:tc>
          <w:tcPr>
            <w:tcW w:w="108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2 курс </w:t>
            </w:r>
          </w:p>
        </w:tc>
        <w:tc>
          <w:tcPr>
            <w:tcW w:w="37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36              </w:t>
            </w:r>
          </w:p>
        </w:tc>
        <w:tc>
          <w:tcPr>
            <w:tcW w:w="33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35           </w:t>
            </w:r>
          </w:p>
        </w:tc>
      </w:tr>
      <w:tr w:rsidR="00DF2172">
        <w:tblPrEx>
          <w:tblCellMar>
            <w:top w:w="0" w:type="dxa"/>
            <w:bottom w:w="0" w:type="dxa"/>
          </w:tblCellMar>
        </w:tblPrEx>
        <w:trPr>
          <w:tblCellSpacing w:w="5" w:type="nil"/>
        </w:trPr>
        <w:tc>
          <w:tcPr>
            <w:tcW w:w="108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3 курс </w:t>
            </w:r>
          </w:p>
        </w:tc>
        <w:tc>
          <w:tcPr>
            <w:tcW w:w="372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36              </w:t>
            </w:r>
          </w:p>
        </w:tc>
        <w:tc>
          <w:tcPr>
            <w:tcW w:w="336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             36           </w:t>
            </w:r>
          </w:p>
        </w:tc>
      </w:tr>
    </w:tbl>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 2.6.1.1 в ред. </w:t>
      </w:r>
      <w:hyperlink r:id="rId35" w:history="1">
        <w:r>
          <w:rPr>
            <w:rFonts w:ascii="Times New Roman" w:hAnsi="Times New Roman" w:cs="Times New Roman"/>
            <w:color w:val="0000FF"/>
            <w:sz w:val="24"/>
            <w:szCs w:val="24"/>
          </w:rPr>
          <w:t>Изменения N 2</w:t>
        </w:r>
      </w:hyperlink>
      <w:r>
        <w:rPr>
          <w:rFonts w:ascii="Times New Roman" w:hAnsi="Times New Roman" w:cs="Times New Roman"/>
          <w:sz w:val="24"/>
          <w:szCs w:val="24"/>
        </w:rPr>
        <w:t>, утв. Постановлением Главного государственного санитарного врача РФ от 30.09.2009 N 59)</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2.6.1.2. При прохождении производственной практики в организациях продолжительность рабочего дня зависит от возраста и составляет в соответствии с трудовым </w:t>
      </w:r>
      <w:hyperlink r:id="rId36" w:history="1">
        <w:r>
          <w:rPr>
            <w:rFonts w:ascii="Times New Roman" w:hAnsi="Times New Roman" w:cs="Times New Roman"/>
            <w:color w:val="0000FF"/>
            <w:sz w:val="24"/>
            <w:szCs w:val="24"/>
          </w:rPr>
          <w:t>законодательством</w:t>
        </w:r>
      </w:hyperlink>
      <w:r>
        <w:rPr>
          <w:rFonts w:ascii="Times New Roman" w:hAnsi="Times New Roman" w:cs="Times New Roman"/>
          <w:sz w:val="24"/>
          <w:szCs w:val="24"/>
        </w:rPr>
        <w:t xml:space="preserve"> для подростков до 16 лет - 4 часа в день (24 часа в неделю), от 16 до 18 лет - 6 часов в день (36 часов в неделю). В возрасте от 18 лет и старше не более 40 часов в неделю. Производственная практика при освоении профессий, входящих в </w:t>
      </w:r>
      <w:hyperlink r:id="rId37" w:history="1">
        <w:r>
          <w:rPr>
            <w:rFonts w:ascii="Times New Roman" w:hAnsi="Times New Roman" w:cs="Times New Roman"/>
            <w:color w:val="0000FF"/>
            <w:sz w:val="24"/>
            <w:szCs w:val="24"/>
          </w:rPr>
          <w:t>перечень</w:t>
        </w:r>
      </w:hyperlink>
      <w:r>
        <w:rPr>
          <w:rFonts w:ascii="Times New Roman" w:hAnsi="Times New Roman" w:cs="Times New Roman"/>
          <w:sz w:val="24"/>
          <w:szCs w:val="24"/>
        </w:rPr>
        <w:t xml:space="preserve"> запрещенных для применения труда лиц моложе 18 лет, организуется в соответствии с </w:t>
      </w:r>
      <w:hyperlink w:anchor="Par431" w:history="1">
        <w:r>
          <w:rPr>
            <w:rFonts w:ascii="Times New Roman" w:hAnsi="Times New Roman" w:cs="Times New Roman"/>
            <w:color w:val="0000FF"/>
            <w:sz w:val="24"/>
            <w:szCs w:val="24"/>
          </w:rPr>
          <w:t>п. 2.4.5.3</w:t>
        </w:r>
      </w:hyperlink>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2.6.1.3. Общая продолжительность перемен должна составлять не менее 20% времени учебного дня. Перемены на отдых обучающихся должны иметь продолжительность не менее 10 минут. Для организации питания предусматривают перемены продолжительностью не менее 20 минут. </w:t>
      </w:r>
      <w:proofErr w:type="gramStart"/>
      <w:r>
        <w:rPr>
          <w:rFonts w:ascii="Times New Roman" w:hAnsi="Times New Roman" w:cs="Times New Roman"/>
          <w:sz w:val="24"/>
          <w:szCs w:val="24"/>
        </w:rPr>
        <w:t>Отдых обучающихся в перерывах между занятиями организуется в рекреационных, специально отведенных помещениях или на участках территории организации.</w:t>
      </w:r>
      <w:proofErr w:type="gramEnd"/>
    </w:p>
    <w:p w:rsidR="00DF2172" w:rsidRDefault="00DF2172" w:rsidP="00DF217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 2.6.1.3 в ред. </w:t>
      </w:r>
      <w:hyperlink r:id="rId38" w:history="1">
        <w:r>
          <w:rPr>
            <w:rFonts w:ascii="Times New Roman" w:hAnsi="Times New Roman" w:cs="Times New Roman"/>
            <w:color w:val="0000FF"/>
            <w:sz w:val="24"/>
            <w:szCs w:val="24"/>
          </w:rPr>
          <w:t>Изменения N 2</w:t>
        </w:r>
      </w:hyperlink>
      <w:r>
        <w:rPr>
          <w:rFonts w:ascii="Times New Roman" w:hAnsi="Times New Roman" w:cs="Times New Roman"/>
          <w:sz w:val="24"/>
          <w:szCs w:val="24"/>
        </w:rPr>
        <w:t>, утв. Постановлением Главного государственного санитарного врача РФ от 30.09.2009 N 59)</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2.6.1.4. Структура рабочего дня во время производственной практики обеспечивает постепенный переход от режима школы и учреждения НПО к режиму труда на производстве. </w:t>
      </w:r>
      <w:proofErr w:type="gramStart"/>
      <w:r>
        <w:rPr>
          <w:rFonts w:ascii="Times New Roman" w:hAnsi="Times New Roman" w:cs="Times New Roman"/>
          <w:sz w:val="24"/>
          <w:szCs w:val="24"/>
        </w:rPr>
        <w:t>Для этого на первом этапе, длительность которого зависит от сроков обучения и профессии, предусматривают десятиминутные перерывы через каждые 50 мин. работы, на втором этапе через 1,5 - 2 часа и на заключительном этапе производственной практики режим работы подростков приближают к режиму труда взрослых рабочих, с более ранним обеденным перерывом (после 3 часов работы).</w:t>
      </w:r>
      <w:proofErr w:type="gramEnd"/>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2.6.1.5. При выборе режима учебно-производственной деятельности осуществляют дифференцированный подход с учетом характера осваиваемой профессии: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при освоении профессий, не связанных с воздействием выраженных профессиональных вредностей, лучшим вариантом режима обучения является такой, когда на первом курсе два дня практики разделены одним, максимум, двумя днями теоретических занятий; на II курсе целесообразно проведение производственного обучения сдвоенными днями; на III курсе допустимы строенные дни производственного обучения, а также чередование дней теоретических и практических занятий в различных сочетаниях;</w:t>
      </w:r>
      <w:proofErr w:type="gramEnd"/>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при </w:t>
      </w:r>
      <w:proofErr w:type="spellStart"/>
      <w:proofErr w:type="gramStart"/>
      <w:r>
        <w:rPr>
          <w:rFonts w:ascii="Times New Roman" w:hAnsi="Times New Roman" w:cs="Times New Roman"/>
          <w:sz w:val="24"/>
          <w:szCs w:val="24"/>
        </w:rPr>
        <w:t>одно-полуторагодичном</w:t>
      </w:r>
      <w:proofErr w:type="spellEnd"/>
      <w:proofErr w:type="gramEnd"/>
      <w:r>
        <w:rPr>
          <w:rFonts w:ascii="Times New Roman" w:hAnsi="Times New Roman" w:cs="Times New Roman"/>
          <w:sz w:val="24"/>
          <w:szCs w:val="24"/>
        </w:rPr>
        <w:t xml:space="preserve"> сроке подготовки (на базе общего среднего образования) рациональным является режим с равномерным чередованием теоретических и практических занятий через день; во втором полугодии возможно также применение режима с тремя днями практики, из которых два могут быть сдвоенными;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при освоении </w:t>
      </w:r>
      <w:hyperlink r:id="rId39" w:history="1">
        <w:r>
          <w:rPr>
            <w:rFonts w:ascii="Times New Roman" w:hAnsi="Times New Roman" w:cs="Times New Roman"/>
            <w:color w:val="0000FF"/>
            <w:sz w:val="24"/>
            <w:szCs w:val="24"/>
          </w:rPr>
          <w:t>профессий</w:t>
        </w:r>
      </w:hyperlink>
      <w:r>
        <w:rPr>
          <w:rFonts w:ascii="Times New Roman" w:hAnsi="Times New Roman" w:cs="Times New Roman"/>
          <w:sz w:val="24"/>
          <w:szCs w:val="24"/>
        </w:rPr>
        <w:t xml:space="preserve">, запрещенных для применения труда лиц моложе 18 лет (упомянуты в </w:t>
      </w:r>
      <w:hyperlink w:anchor="Par431" w:history="1">
        <w:r>
          <w:rPr>
            <w:rFonts w:ascii="Times New Roman" w:hAnsi="Times New Roman" w:cs="Times New Roman"/>
            <w:color w:val="0000FF"/>
            <w:sz w:val="24"/>
            <w:szCs w:val="24"/>
          </w:rPr>
          <w:t>п. 2.4.5.3</w:t>
        </w:r>
      </w:hyperlink>
      <w:r>
        <w:rPr>
          <w:rFonts w:ascii="Times New Roman" w:hAnsi="Times New Roman" w:cs="Times New Roman"/>
          <w:sz w:val="24"/>
          <w:szCs w:val="24"/>
        </w:rPr>
        <w:t>), для сокращения времени пребывания учащихся в условиях производства целесообразно использовать режим, предусматривающий чередование теоретических и практических занятий на протяжении дня;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производственную практику на I и II курсах обучения не рекомендуется начинать ранее 8 часов утра, а на III курсе и на одногодичных отделениях - ранее 7 час. 30 мин; обучение в вечернюю смену является нежелательным в связи с поздним окончанием работы, в ночную смену запрещено </w:t>
      </w:r>
      <w:hyperlink r:id="rId40" w:history="1">
        <w:r>
          <w:rPr>
            <w:rFonts w:ascii="Times New Roman" w:hAnsi="Times New Roman" w:cs="Times New Roman"/>
            <w:color w:val="0000FF"/>
            <w:sz w:val="24"/>
            <w:szCs w:val="24"/>
          </w:rPr>
          <w:t>законодательством</w:t>
        </w:r>
      </w:hyperlink>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2.6.1.6. Все положения по организации режима труда и отдыха отражают в договоре о проведении производственной практики обучающихся, который заключают между учреждением НПО и организацией.</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2.6.1.7. При составлении расписания необходимо учитывать динамику работоспособности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степень сложности усвоения учебного материала </w:t>
      </w:r>
      <w:hyperlink w:anchor="Par598" w:history="1">
        <w:r>
          <w:rPr>
            <w:rFonts w:ascii="Times New Roman" w:hAnsi="Times New Roman" w:cs="Times New Roman"/>
            <w:color w:val="0000FF"/>
            <w:sz w:val="24"/>
            <w:szCs w:val="24"/>
          </w:rPr>
          <w:t>(Приложение 2)</w:t>
        </w:r>
      </w:hyperlink>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занятия по трудным для усвоения предметам теоретического обучения следует проводить в дни и часы более высокой работоспособности обучающихся, чередуя их с занятиями по другим предметам: в понедельник или субботу рекомендуется включать в расписание не более двух уроков по трудно усваиваемым предметам, в дни высокой работоспособности (вторник, среда) - три-четыре;</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для изучения теоретических предметов профессионально-технического цикла следует выделять 2 - 4-й часы, так как занятия этого цикла являются для обучающихся более утомительными, чем по общеобразовательным предметам, особенно в первый год их изучения;</w:t>
      </w:r>
      <w:proofErr w:type="gramEnd"/>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на начальном этапе освоения профессиональных навыков для производственного обучения необходимо отводить дни высокой работоспособности (кроме понедельника и субботы);</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занятия по одному предмету должны проводить с интервалом один-два дня, но не реже, чем 1 раз в 3 дня;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необходимо предусматривать чередование общеобразовательных, общетехнических и специальных предметов в течение учебного дня; проведение сдвоенных уроков разрешается по всем предметам, кроме уроков физкультуры в залах. Режим работы на дисплеях организуется в соответствии с </w:t>
      </w:r>
      <w:hyperlink r:id="rId41" w:history="1">
        <w:r>
          <w:rPr>
            <w:rFonts w:ascii="Times New Roman" w:hAnsi="Times New Roman" w:cs="Times New Roman"/>
            <w:color w:val="0000FF"/>
            <w:sz w:val="24"/>
            <w:szCs w:val="24"/>
          </w:rPr>
          <w:t>санитарными правилами</w:t>
        </w:r>
      </w:hyperlink>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при использовании сдвоенных уроков должны быть предусмотрены между ними 10-минутные перерывы на отдых;</w:t>
      </w:r>
    </w:p>
    <w:p w:rsidR="00DF2172" w:rsidRDefault="00DF2172" w:rsidP="00DF217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(абзац введен </w:t>
      </w:r>
      <w:hyperlink r:id="rId42" w:history="1">
        <w:r>
          <w:rPr>
            <w:rFonts w:ascii="Times New Roman" w:hAnsi="Times New Roman" w:cs="Times New Roman"/>
            <w:color w:val="0000FF"/>
            <w:sz w:val="24"/>
            <w:szCs w:val="24"/>
          </w:rPr>
          <w:t>Изменением N 2</w:t>
        </w:r>
      </w:hyperlink>
      <w:r>
        <w:rPr>
          <w:rFonts w:ascii="Times New Roman" w:hAnsi="Times New Roman" w:cs="Times New Roman"/>
          <w:sz w:val="24"/>
          <w:szCs w:val="24"/>
        </w:rPr>
        <w:t>, утв. Постановлением Главного государственного санитарного врача РФ от 30.09.2009 N 59)</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учебная нагрузка в последний день недели должна быть уменьшена либо за счет сокращения продолжительности учебного дня, либо за счет включения предметов меньшей сложности для усвоения;</w:t>
      </w:r>
    </w:p>
    <w:p w:rsidR="00DF2172" w:rsidRDefault="00DF2172" w:rsidP="00DF217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(абзац введен </w:t>
      </w:r>
      <w:hyperlink r:id="rId43" w:history="1">
        <w:r>
          <w:rPr>
            <w:rFonts w:ascii="Times New Roman" w:hAnsi="Times New Roman" w:cs="Times New Roman"/>
            <w:color w:val="0000FF"/>
            <w:sz w:val="24"/>
            <w:szCs w:val="24"/>
          </w:rPr>
          <w:t>Изменением N 2</w:t>
        </w:r>
      </w:hyperlink>
      <w:r>
        <w:rPr>
          <w:rFonts w:ascii="Times New Roman" w:hAnsi="Times New Roman" w:cs="Times New Roman"/>
          <w:sz w:val="24"/>
          <w:szCs w:val="24"/>
        </w:rPr>
        <w:t>, утв. Постановлением Главного государственного санитарного врача РФ от 30.09.2009 N 59)</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в целях профилактики переутомления и поддержания работоспособности обучающихся рекомендуется организовывать плотность учебных занятий в пределах 60% - 80% учебного времени, с использованием наглядных пособий, технических средств обучения, самостоятельной работы;</w:t>
      </w:r>
    </w:p>
    <w:p w:rsidR="00DF2172" w:rsidRDefault="00DF2172" w:rsidP="00DF217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(абзац введен </w:t>
      </w:r>
      <w:hyperlink r:id="rId44" w:history="1">
        <w:r>
          <w:rPr>
            <w:rFonts w:ascii="Times New Roman" w:hAnsi="Times New Roman" w:cs="Times New Roman"/>
            <w:color w:val="0000FF"/>
            <w:sz w:val="24"/>
            <w:szCs w:val="24"/>
          </w:rPr>
          <w:t>Изменением N 2</w:t>
        </w:r>
      </w:hyperlink>
      <w:r>
        <w:rPr>
          <w:rFonts w:ascii="Times New Roman" w:hAnsi="Times New Roman" w:cs="Times New Roman"/>
          <w:sz w:val="24"/>
          <w:szCs w:val="24"/>
        </w:rPr>
        <w:t>, утв. Постановлением Главного государственного санитарного врача РФ от 30.09.2009 N 59)</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не рекомендуется использовать лекционное построение занятий на первых двух курсах обучения.</w:t>
      </w:r>
    </w:p>
    <w:p w:rsidR="00DF2172" w:rsidRDefault="00DF2172" w:rsidP="00DF217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(абзац введен </w:t>
      </w:r>
      <w:hyperlink r:id="rId45" w:history="1">
        <w:r>
          <w:rPr>
            <w:rFonts w:ascii="Times New Roman" w:hAnsi="Times New Roman" w:cs="Times New Roman"/>
            <w:color w:val="0000FF"/>
            <w:sz w:val="24"/>
            <w:szCs w:val="24"/>
          </w:rPr>
          <w:t>Изменением N 2</w:t>
        </w:r>
      </w:hyperlink>
      <w:r>
        <w:rPr>
          <w:rFonts w:ascii="Times New Roman" w:hAnsi="Times New Roman" w:cs="Times New Roman"/>
          <w:sz w:val="24"/>
          <w:szCs w:val="24"/>
        </w:rPr>
        <w:t>, утв. Постановлением Главного государственного санитарного врача РФ от 30.09.2009 N 59)</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2.6.1.8. Расписание занятий составляют не менее чем на полгода и не меняют в целях выработки у обучающихся устойчивого стереотипа деятельности, обеспечивающего успешное усвоение учебного материала и практических навыков.</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2.6.1.9. Используемые в учебном процессе учебники и пособия должны отвечать требованиям </w:t>
      </w:r>
      <w:hyperlink r:id="rId46" w:history="1">
        <w:r>
          <w:rPr>
            <w:rFonts w:ascii="Times New Roman" w:hAnsi="Times New Roman" w:cs="Times New Roman"/>
            <w:color w:val="0000FF"/>
            <w:sz w:val="24"/>
            <w:szCs w:val="24"/>
          </w:rPr>
          <w:t>санитарных правил</w:t>
        </w:r>
      </w:hyperlink>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2.6.2. Организация физического воспитания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2.6.2.1. Ведущими принципами физического воспитания обучающихся являются обеспечение биологической потребности организма подростка в движениях, составляющей 10 - 12 часов организованной двигательной активности в неделю, и профессионально-прикладная направленность всех форм физического воспитания: уроков, занятий в спортивных секциях для развития профессионально-значимых функций </w:t>
      </w:r>
      <w:hyperlink w:anchor="Par614" w:history="1">
        <w:r>
          <w:rPr>
            <w:rFonts w:ascii="Times New Roman" w:hAnsi="Times New Roman" w:cs="Times New Roman"/>
            <w:color w:val="0000FF"/>
            <w:sz w:val="24"/>
            <w:szCs w:val="24"/>
          </w:rPr>
          <w:t>(Приложение 3)</w:t>
        </w:r>
      </w:hyperlink>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2.6.2.2. На основании данных медицинского осмотра всех обучающихся распределяют для занятий физической культурой на три медицинские группы: основную, </w:t>
      </w:r>
      <w:r>
        <w:rPr>
          <w:rFonts w:ascii="Times New Roman" w:hAnsi="Times New Roman" w:cs="Times New Roman"/>
          <w:sz w:val="24"/>
          <w:szCs w:val="24"/>
        </w:rPr>
        <w:lastRenderedPageBreak/>
        <w:t xml:space="preserve">подготовительную и специальную.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не прошедших медицинский осмотр, к занятиям не допускают.</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2.6.2.3. Основной формой физического воспитания являются уроки по физической культуре, которые рекомендуется включать в учебный план в объеме не менее 4 часов в неделю.</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2.6.2.4. В расписании занятий уроки физкультуры равномерно распределяют по дням недели. Уроки лыжной подготовки и занятия в бассейнах проводят 1 - 2 раза в неделю по 90 минут.</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2.6.2.5. Для организации занятий по плаванию необходимо использовать бассейны, отвечающие нормативным </w:t>
      </w:r>
      <w:hyperlink r:id="rId47" w:history="1">
        <w:r>
          <w:rPr>
            <w:rFonts w:ascii="Times New Roman" w:hAnsi="Times New Roman" w:cs="Times New Roman"/>
            <w:color w:val="0000FF"/>
            <w:sz w:val="24"/>
            <w:szCs w:val="24"/>
          </w:rPr>
          <w:t>требованиям</w:t>
        </w:r>
      </w:hyperlink>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2.6.2.6. Уроки физической культуры проводят с учетом возрастно-половых особенностей обучающихся; целесообразно раздельное проведение занятий для юношей и девушек при численности подростков одного пола более 8 человек.</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2.6.2.7. Спортивная одежда и обувь должны соответствовать температурным условиям, времени года, виду спортивных занятий.</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2.6.2.8. Уроки по лыжной подготовке не проводят при температуре ниже -20 град.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без</w:t>
      </w:r>
      <w:proofErr w:type="gramEnd"/>
      <w:r>
        <w:rPr>
          <w:rFonts w:ascii="Times New Roman" w:hAnsi="Times New Roman" w:cs="Times New Roman"/>
          <w:sz w:val="24"/>
          <w:szCs w:val="24"/>
        </w:rPr>
        <w:t xml:space="preserve"> ветра и при температуре ниже -18 град. С при наличии ветра, занятия по плаванию - при температуре воды ниже +18 град. С.</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Учебное время для перехода (переезда) обучающихся к месту проведения уроков не используют.</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2.6.2.9. Рекомендуется организовывать еженедельно факультативные (дополнительные) занятия физической культурой и спортом в объеме 2 - 4 часа для оптимизации недельного объема организованной двигательной активности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Учебные группы для факультативных занятий формируют из обучающихся, не занимающихся в спортивных секциях, численностью не менее 25 человек.</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Реализация дополнительной программы осуществляется также проведением дней здоровья, туристических походов, спортивных олимпиад, спартакиад и других спортивных мероприятий.</w:t>
      </w:r>
    </w:p>
    <w:p w:rsidR="00DF2172" w:rsidRDefault="00DF2172" w:rsidP="00DF2172">
      <w:pPr>
        <w:pBdr>
          <w:bottom w:val="single" w:sz="6" w:space="0" w:color="auto"/>
        </w:pBdr>
        <w:autoSpaceDE w:val="0"/>
        <w:autoSpaceDN w:val="0"/>
        <w:adjustRightInd w:val="0"/>
        <w:spacing w:after="0" w:line="240" w:lineRule="auto"/>
        <w:rPr>
          <w:rFonts w:ascii="Times New Roman" w:hAnsi="Times New Roman" w:cs="Times New Roman"/>
          <w:sz w:val="5"/>
          <w:szCs w:val="5"/>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КонсультантПлюс</w:t>
      </w:r>
      <w:proofErr w:type="spellEnd"/>
      <w:r>
        <w:rPr>
          <w:rFonts w:ascii="Times New Roman" w:hAnsi="Times New Roman" w:cs="Times New Roman"/>
          <w:sz w:val="24"/>
          <w:szCs w:val="24"/>
        </w:rPr>
        <w:t>: примечание.</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По вопросу, касающемуся санитарно-эпидемиологических требований к организации питания обучающихся в общеобразовательных учреждениях, учреждениях начального и среднего профессионального образования, </w:t>
      </w:r>
      <w:proofErr w:type="gramStart"/>
      <w:r>
        <w:rPr>
          <w:rFonts w:ascii="Times New Roman" w:hAnsi="Times New Roman" w:cs="Times New Roman"/>
          <w:sz w:val="24"/>
          <w:szCs w:val="24"/>
        </w:rPr>
        <w:t>см</w:t>
      </w:r>
      <w:proofErr w:type="gramEnd"/>
      <w:r>
        <w:rPr>
          <w:rFonts w:ascii="Times New Roman" w:hAnsi="Times New Roman" w:cs="Times New Roman"/>
          <w:sz w:val="24"/>
          <w:szCs w:val="24"/>
        </w:rPr>
        <w:t xml:space="preserve">. </w:t>
      </w:r>
      <w:hyperlink r:id="rId48" w:history="1">
        <w:r>
          <w:rPr>
            <w:rFonts w:ascii="Times New Roman" w:hAnsi="Times New Roman" w:cs="Times New Roman"/>
            <w:color w:val="0000FF"/>
            <w:sz w:val="24"/>
            <w:szCs w:val="24"/>
          </w:rPr>
          <w:t>Постановление</w:t>
        </w:r>
      </w:hyperlink>
      <w:r>
        <w:rPr>
          <w:rFonts w:ascii="Times New Roman" w:hAnsi="Times New Roman" w:cs="Times New Roman"/>
          <w:sz w:val="24"/>
          <w:szCs w:val="24"/>
        </w:rPr>
        <w:t xml:space="preserve"> Главного государственного санитарного врача РФ от 23.07.2008 N 45.</w:t>
      </w:r>
    </w:p>
    <w:p w:rsidR="00DF2172" w:rsidRDefault="00DF2172" w:rsidP="00DF2172">
      <w:pPr>
        <w:pBdr>
          <w:bottom w:val="single" w:sz="6" w:space="0" w:color="auto"/>
        </w:pBdr>
        <w:autoSpaceDE w:val="0"/>
        <w:autoSpaceDN w:val="0"/>
        <w:adjustRightInd w:val="0"/>
        <w:spacing w:after="0" w:line="240" w:lineRule="auto"/>
        <w:rPr>
          <w:rFonts w:ascii="Times New Roman" w:hAnsi="Times New Roman" w:cs="Times New Roman"/>
          <w:sz w:val="5"/>
          <w:szCs w:val="5"/>
        </w:rPr>
      </w:pPr>
    </w:p>
    <w:p w:rsidR="00DF2172" w:rsidRDefault="00DF2172" w:rsidP="00DF2172">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2.7. Утратил силу. - </w:t>
      </w:r>
      <w:hyperlink r:id="rId49" w:history="1">
        <w:r>
          <w:rPr>
            <w:rFonts w:ascii="Times New Roman" w:hAnsi="Times New Roman" w:cs="Times New Roman"/>
            <w:color w:val="0000FF"/>
            <w:sz w:val="24"/>
            <w:szCs w:val="24"/>
          </w:rPr>
          <w:t>Постановление</w:t>
        </w:r>
      </w:hyperlink>
      <w:r>
        <w:rPr>
          <w:rFonts w:ascii="Times New Roman" w:hAnsi="Times New Roman" w:cs="Times New Roman"/>
          <w:sz w:val="24"/>
          <w:szCs w:val="24"/>
        </w:rPr>
        <w:t xml:space="preserve"> Главного государственного санитарного врача РФ от 23.07.2008 N 45.</w:t>
      </w:r>
    </w:p>
    <w:p w:rsidR="00DF2172" w:rsidRDefault="00DF2172" w:rsidP="00DF2172">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2.8. Организация медицинского обеспечения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2.8.1. Учреждения НПО комплектуют кадрами врачей и средних медицинских работников в соответствии с действующими в области здравоохранения нормативами.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2.8.2. Поступающие в учреждения НПО проходят предварительные медицинские осмотры в установленном </w:t>
      </w:r>
      <w:hyperlink r:id="rId50" w:history="1">
        <w:r>
          <w:rPr>
            <w:rFonts w:ascii="Times New Roman" w:hAnsi="Times New Roman" w:cs="Times New Roman"/>
            <w:color w:val="0000FF"/>
            <w:sz w:val="24"/>
            <w:szCs w:val="24"/>
          </w:rPr>
          <w:t>порядке</w:t>
        </w:r>
      </w:hyperlink>
      <w:r>
        <w:rPr>
          <w:rFonts w:ascii="Times New Roman" w:hAnsi="Times New Roman" w:cs="Times New Roman"/>
          <w:sz w:val="24"/>
          <w:szCs w:val="24"/>
        </w:rPr>
        <w:t xml:space="preserve">. Состав комиссии, объем исследований и заключение о пригодности к </w:t>
      </w:r>
      <w:proofErr w:type="gramStart"/>
      <w:r>
        <w:rPr>
          <w:rFonts w:ascii="Times New Roman" w:hAnsi="Times New Roman" w:cs="Times New Roman"/>
          <w:sz w:val="24"/>
          <w:szCs w:val="24"/>
        </w:rPr>
        <w:t>обучению по</w:t>
      </w:r>
      <w:proofErr w:type="gramEnd"/>
      <w:r>
        <w:rPr>
          <w:rFonts w:ascii="Times New Roman" w:hAnsi="Times New Roman" w:cs="Times New Roman"/>
          <w:sz w:val="24"/>
          <w:szCs w:val="24"/>
        </w:rPr>
        <w:t xml:space="preserve"> выбранной специальности определяются соответствующими нормативными актами Минздрава России.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2.8.3. </w:t>
      </w:r>
      <w:proofErr w:type="gramStart"/>
      <w:r>
        <w:rPr>
          <w:rFonts w:ascii="Times New Roman" w:hAnsi="Times New Roman" w:cs="Times New Roman"/>
          <w:sz w:val="24"/>
          <w:szCs w:val="24"/>
        </w:rPr>
        <w:t>Обучающиеся</w:t>
      </w:r>
      <w:proofErr w:type="gramEnd"/>
      <w:r>
        <w:rPr>
          <w:rFonts w:ascii="Times New Roman" w:hAnsi="Times New Roman" w:cs="Times New Roman"/>
          <w:sz w:val="24"/>
          <w:szCs w:val="24"/>
        </w:rPr>
        <w:t xml:space="preserve"> до 18-летнего возраста подлежат ежегодным периодическим осмотрам.</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2.8.4. Перед началом производственной практики в организациях, работники которых в связи с характером работы подлежат предварительному и периодическому медицинскому освидетельствованию, обучающиеся проходят осмотры в установленном для этих контингентов порядке.</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2.8.5. При выявлении патологии, препятствующей продолжению освоения избранной специальности,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переводят на обучение другой специальности в соответствии с состоянием здоровья или отчисляют из образовательного учреждения с </w:t>
      </w:r>
      <w:r>
        <w:rPr>
          <w:rFonts w:ascii="Times New Roman" w:hAnsi="Times New Roman" w:cs="Times New Roman"/>
          <w:sz w:val="24"/>
          <w:szCs w:val="24"/>
        </w:rPr>
        <w:lastRenderedPageBreak/>
        <w:t>обязательными рекомендациями по выбору другого профиля подготовки или рациональному трудоустройству.</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2.8.6. Администрация и педагогический персонал организуют и проводят работу по гигиеническому воспитанию и образованию учащихся, формированию навыков здорового образа жизни с участием медицинских работников лечебно-профилактических учреждений, центров </w:t>
      </w:r>
      <w:proofErr w:type="spellStart"/>
      <w:r>
        <w:rPr>
          <w:rFonts w:ascii="Times New Roman" w:hAnsi="Times New Roman" w:cs="Times New Roman"/>
          <w:sz w:val="24"/>
          <w:szCs w:val="24"/>
        </w:rPr>
        <w:t>госсанэпиднадзора</w:t>
      </w:r>
      <w:proofErr w:type="spellEnd"/>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2.8.7. Медицинские осмотры работников кухни, педагогов и воспитателей осуществляются согласно установленному </w:t>
      </w:r>
      <w:hyperlink r:id="rId51" w:history="1">
        <w:r>
          <w:rPr>
            <w:rFonts w:ascii="Times New Roman" w:hAnsi="Times New Roman" w:cs="Times New Roman"/>
            <w:color w:val="0000FF"/>
            <w:sz w:val="24"/>
            <w:szCs w:val="24"/>
          </w:rPr>
          <w:t>порядку</w:t>
        </w:r>
      </w:hyperlink>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2.9. Требования к соблюдению санитарных правил и норм</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2.9.1. В соответствии с Федеральным </w:t>
      </w:r>
      <w:hyperlink r:id="rId52"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N 52-ФЗ от 30.03.1999 "О санитарно-эпидемиологическом благополучии населения" в учреждении должны быть санитарные правила, а также другие нормативные документы с учетом профиля подготовки к профессиям. Руководитель учреждения НПО является ответственным за выполнение настоящих санитарных правил.</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2.9.2. Медицинский персонал учреждения НПО осуществляет повседневный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соблюдением санитарных правил.</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2.9.3. Надзор за выполнением настоящих санитарных правил осуществляют территориальные центры </w:t>
      </w:r>
      <w:proofErr w:type="spellStart"/>
      <w:r>
        <w:rPr>
          <w:rFonts w:ascii="Times New Roman" w:hAnsi="Times New Roman" w:cs="Times New Roman"/>
          <w:sz w:val="24"/>
          <w:szCs w:val="24"/>
        </w:rPr>
        <w:t>госсанэпиднадзора</w:t>
      </w:r>
      <w:proofErr w:type="spellEnd"/>
      <w:r>
        <w:rPr>
          <w:rFonts w:ascii="Times New Roman" w:hAnsi="Times New Roman" w:cs="Times New Roman"/>
          <w:sz w:val="24"/>
          <w:szCs w:val="24"/>
        </w:rPr>
        <w:t>.</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2.9.4. За нарушение санитарного законодательства устанавливается дисциплинарная, </w:t>
      </w:r>
      <w:hyperlink r:id="rId53" w:history="1">
        <w:r>
          <w:rPr>
            <w:rFonts w:ascii="Times New Roman" w:hAnsi="Times New Roman" w:cs="Times New Roman"/>
            <w:color w:val="0000FF"/>
            <w:sz w:val="24"/>
            <w:szCs w:val="24"/>
          </w:rPr>
          <w:t>административная</w:t>
        </w:r>
      </w:hyperlink>
      <w:r>
        <w:rPr>
          <w:rFonts w:ascii="Times New Roman" w:hAnsi="Times New Roman" w:cs="Times New Roman"/>
          <w:sz w:val="24"/>
          <w:szCs w:val="24"/>
        </w:rPr>
        <w:t xml:space="preserve"> и </w:t>
      </w:r>
      <w:hyperlink r:id="rId54" w:history="1">
        <w:r>
          <w:rPr>
            <w:rFonts w:ascii="Times New Roman" w:hAnsi="Times New Roman" w:cs="Times New Roman"/>
            <w:color w:val="0000FF"/>
            <w:sz w:val="24"/>
            <w:szCs w:val="24"/>
          </w:rPr>
          <w:t>уголовная</w:t>
        </w:r>
      </w:hyperlink>
      <w:r>
        <w:rPr>
          <w:rFonts w:ascii="Times New Roman" w:hAnsi="Times New Roman" w:cs="Times New Roman"/>
          <w:sz w:val="24"/>
          <w:szCs w:val="24"/>
        </w:rPr>
        <w:t xml:space="preserve"> ответственность.</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2.9.5. Руководитель учреждения обязан организовывать </w:t>
      </w:r>
      <w:hyperlink r:id="rId55" w:history="1">
        <w:r>
          <w:rPr>
            <w:rFonts w:ascii="Times New Roman" w:hAnsi="Times New Roman" w:cs="Times New Roman"/>
            <w:color w:val="0000FF"/>
            <w:sz w:val="24"/>
            <w:szCs w:val="24"/>
          </w:rPr>
          <w:t>производственный контроль</w:t>
        </w:r>
      </w:hyperlink>
      <w:r>
        <w:rPr>
          <w:rFonts w:ascii="Times New Roman" w:hAnsi="Times New Roman" w:cs="Times New Roman"/>
          <w:sz w:val="24"/>
          <w:szCs w:val="24"/>
        </w:rPr>
        <w:t>, в том числе посредством проведения лабораторных исследований и испытаний, за соблюдением санитарных правил и выполнением санитарно-противоэпидемических (профилактических) мероприятий.</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1</w:t>
      </w:r>
    </w:p>
    <w:p w:rsidR="00DF2172" w:rsidRDefault="00DF2172" w:rsidP="00DF217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2.4.3.1186-03</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bookmarkStart w:id="3" w:name="Par555"/>
      <w:bookmarkEnd w:id="3"/>
      <w:r>
        <w:rPr>
          <w:rFonts w:ascii="Times New Roman" w:hAnsi="Times New Roman" w:cs="Times New Roman"/>
          <w:sz w:val="24"/>
          <w:szCs w:val="24"/>
        </w:rPr>
        <w:t>УРОВНИ</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ИСКУССТВЕННОЙ ОСВЕЩЕННОСТИ ПРИ РАЗЛИЧНЫХ ВИДАХ</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ЗРИТЕЛЬНЫХ РАБОТ, ВЫПОЛНЯЕМЫХ ПОДРОСТКАМИ</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ПРИ ИСПОЛЬЗОВАНИИ ЛЮМИНЕСЦЕНТНЫХ ЛАМП</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w:t>
      </w:r>
    </w:p>
    <w:p w:rsidR="00DF2172" w:rsidRDefault="00DF2172" w:rsidP="00DF2172">
      <w:pPr>
        <w:pStyle w:val="ConsPlusCell"/>
        <w:rPr>
          <w:rFonts w:ascii="Courier New" w:hAnsi="Courier New" w:cs="Courier New"/>
          <w:sz w:val="20"/>
          <w:szCs w:val="20"/>
        </w:rPr>
      </w:pPr>
      <w:proofErr w:type="spellStart"/>
      <w:r>
        <w:rPr>
          <w:rFonts w:ascii="Courier New" w:hAnsi="Courier New" w:cs="Courier New"/>
          <w:sz w:val="20"/>
          <w:szCs w:val="20"/>
        </w:rPr>
        <w:t>│Наименование</w:t>
      </w:r>
      <w:proofErr w:type="spellEnd"/>
      <w:r>
        <w:rPr>
          <w:rFonts w:ascii="Courier New" w:hAnsi="Courier New" w:cs="Courier New"/>
          <w:sz w:val="20"/>
          <w:szCs w:val="20"/>
        </w:rPr>
        <w:t xml:space="preserve"> </w:t>
      </w:r>
      <w:proofErr w:type="spellStart"/>
      <w:r>
        <w:rPr>
          <w:rFonts w:ascii="Courier New" w:hAnsi="Courier New" w:cs="Courier New"/>
          <w:sz w:val="20"/>
          <w:szCs w:val="20"/>
        </w:rPr>
        <w:t>мастерских│Система</w:t>
      </w:r>
      <w:proofErr w:type="spellEnd"/>
      <w:r>
        <w:rPr>
          <w:rFonts w:ascii="Courier New" w:hAnsi="Courier New" w:cs="Courier New"/>
          <w:sz w:val="20"/>
          <w:szCs w:val="20"/>
        </w:rPr>
        <w:t xml:space="preserve"> </w:t>
      </w:r>
      <w:proofErr w:type="spellStart"/>
      <w:r>
        <w:rPr>
          <w:rFonts w:ascii="Courier New" w:hAnsi="Courier New" w:cs="Courier New"/>
          <w:sz w:val="20"/>
          <w:szCs w:val="20"/>
        </w:rPr>
        <w:t>искусстве</w:t>
      </w:r>
      <w:proofErr w:type="gramStart"/>
      <w:r>
        <w:rPr>
          <w:rFonts w:ascii="Courier New" w:hAnsi="Courier New" w:cs="Courier New"/>
          <w:sz w:val="20"/>
          <w:szCs w:val="20"/>
        </w:rPr>
        <w:t>н-</w:t>
      </w:r>
      <w:proofErr w:type="gramEnd"/>
      <w:r>
        <w:rPr>
          <w:rFonts w:ascii="Courier New" w:hAnsi="Courier New" w:cs="Courier New"/>
          <w:sz w:val="20"/>
          <w:szCs w:val="20"/>
        </w:rPr>
        <w:t>│Освещенность</w:t>
      </w:r>
      <w:proofErr w:type="spellEnd"/>
      <w:r>
        <w:rPr>
          <w:rFonts w:ascii="Courier New" w:hAnsi="Courier New" w:cs="Courier New"/>
          <w:sz w:val="20"/>
          <w:szCs w:val="20"/>
        </w:rPr>
        <w:t xml:space="preserve"> в люкс │</w:t>
      </w:r>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│ного</w:t>
      </w:r>
      <w:proofErr w:type="spellEnd"/>
      <w:r>
        <w:rPr>
          <w:rFonts w:ascii="Courier New" w:hAnsi="Courier New" w:cs="Courier New"/>
          <w:sz w:val="20"/>
          <w:szCs w:val="20"/>
        </w:rPr>
        <w:t xml:space="preserve"> освещения     │                    </w:t>
      </w:r>
      <w:proofErr w:type="spellStart"/>
      <w:r>
        <w:rPr>
          <w:rFonts w:ascii="Courier New" w:hAnsi="Courier New" w:cs="Courier New"/>
          <w:sz w:val="20"/>
          <w:szCs w:val="20"/>
        </w:rPr>
        <w:t>│</w:t>
      </w:r>
      <w:proofErr w:type="spellEnd"/>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w:t>
      </w:r>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швейные</w:t>
      </w:r>
      <w:proofErr w:type="gramEnd"/>
      <w:r>
        <w:rPr>
          <w:rFonts w:ascii="Courier New" w:hAnsi="Courier New" w:cs="Courier New"/>
          <w:sz w:val="20"/>
          <w:szCs w:val="20"/>
        </w:rPr>
        <w:t xml:space="preserve">        │       общее       │  600 для светлой   │</w:t>
      </w:r>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поверхности     │</w:t>
      </w:r>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w:t>
      </w:r>
      <w:proofErr w:type="spellEnd"/>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gramStart"/>
      <w:r>
        <w:rPr>
          <w:rFonts w:ascii="Courier New" w:hAnsi="Courier New" w:cs="Courier New"/>
          <w:sz w:val="20"/>
          <w:szCs w:val="20"/>
        </w:rPr>
        <w:t>комбинированное</w:t>
      </w:r>
      <w:proofErr w:type="gramEnd"/>
      <w:r>
        <w:rPr>
          <w:rFonts w:ascii="Courier New" w:hAnsi="Courier New" w:cs="Courier New"/>
          <w:sz w:val="20"/>
          <w:szCs w:val="20"/>
        </w:rPr>
        <w:t xml:space="preserve"> * │  4750 для темной   │</w:t>
      </w:r>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поверхности     │</w:t>
      </w:r>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w:t>
      </w:r>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 xml:space="preserve">│     сборочные цеха    │ </w:t>
      </w:r>
      <w:proofErr w:type="gramStart"/>
      <w:r>
        <w:rPr>
          <w:rFonts w:ascii="Courier New" w:hAnsi="Courier New" w:cs="Courier New"/>
          <w:sz w:val="20"/>
          <w:szCs w:val="20"/>
        </w:rPr>
        <w:t>комбинированное</w:t>
      </w:r>
      <w:proofErr w:type="gramEnd"/>
      <w:r>
        <w:rPr>
          <w:rFonts w:ascii="Courier New" w:hAnsi="Courier New" w:cs="Courier New"/>
          <w:sz w:val="20"/>
          <w:szCs w:val="20"/>
        </w:rPr>
        <w:t xml:space="preserve"> * │         4000       │</w:t>
      </w:r>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 xml:space="preserve">│        часового       │                   </w:t>
      </w:r>
      <w:proofErr w:type="spellStart"/>
      <w:r>
        <w:rPr>
          <w:rFonts w:ascii="Courier New" w:hAnsi="Courier New" w:cs="Courier New"/>
          <w:sz w:val="20"/>
          <w:szCs w:val="20"/>
        </w:rPr>
        <w:t>│</w:t>
      </w:r>
      <w:proofErr w:type="spellEnd"/>
      <w:r>
        <w:rPr>
          <w:rFonts w:ascii="Courier New" w:hAnsi="Courier New" w:cs="Courier New"/>
          <w:sz w:val="20"/>
          <w:szCs w:val="20"/>
        </w:rPr>
        <w:t xml:space="preserve">         5000       │</w:t>
      </w:r>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 xml:space="preserve">│      производства     │                   </w:t>
      </w:r>
      <w:proofErr w:type="spellStart"/>
      <w:r>
        <w:rPr>
          <w:rFonts w:ascii="Courier New" w:hAnsi="Courier New" w:cs="Courier New"/>
          <w:sz w:val="20"/>
          <w:szCs w:val="20"/>
        </w:rPr>
        <w:t>│</w:t>
      </w:r>
      <w:proofErr w:type="spellEnd"/>
      <w:r>
        <w:rPr>
          <w:rFonts w:ascii="Courier New" w:hAnsi="Courier New" w:cs="Courier New"/>
          <w:sz w:val="20"/>
          <w:szCs w:val="20"/>
        </w:rPr>
        <w:t xml:space="preserve">  при использовании │</w:t>
      </w:r>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оптических </w:t>
      </w:r>
      <w:proofErr w:type="spellStart"/>
      <w:r>
        <w:rPr>
          <w:rFonts w:ascii="Courier New" w:hAnsi="Courier New" w:cs="Courier New"/>
          <w:sz w:val="20"/>
          <w:szCs w:val="20"/>
        </w:rPr>
        <w:t>приборов│</w:t>
      </w:r>
      <w:proofErr w:type="spellEnd"/>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30 - 65% рабочего │</w:t>
      </w:r>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времени     │</w:t>
      </w:r>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w:t>
      </w:r>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       столярные       │       общее       │          500       │</w:t>
      </w:r>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w:t>
      </w:r>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lastRenderedPageBreak/>
        <w:t>│       слесарные       │       общее       │          600       │</w:t>
      </w:r>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w:t>
      </w:r>
      <w:proofErr w:type="spellStart"/>
      <w:r>
        <w:rPr>
          <w:rFonts w:ascii="Courier New" w:hAnsi="Courier New" w:cs="Courier New"/>
          <w:sz w:val="20"/>
          <w:szCs w:val="20"/>
        </w:rPr>
        <w:t>│</w:t>
      </w:r>
      <w:proofErr w:type="spellEnd"/>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 xml:space="preserve">│                       </w:t>
      </w:r>
      <w:proofErr w:type="spellStart"/>
      <w:r>
        <w:rPr>
          <w:rFonts w:ascii="Courier New" w:hAnsi="Courier New" w:cs="Courier New"/>
          <w:sz w:val="20"/>
          <w:szCs w:val="20"/>
        </w:rPr>
        <w:t>│</w:t>
      </w:r>
      <w:proofErr w:type="spellEnd"/>
      <w:r>
        <w:rPr>
          <w:rFonts w:ascii="Courier New" w:hAnsi="Courier New" w:cs="Courier New"/>
          <w:sz w:val="20"/>
          <w:szCs w:val="20"/>
        </w:rPr>
        <w:t xml:space="preserve"> комбинированное * │         1000       │</w:t>
      </w:r>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w:t>
      </w:r>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 xml:space="preserve">│       токарные        │ </w:t>
      </w:r>
      <w:proofErr w:type="gramStart"/>
      <w:r>
        <w:rPr>
          <w:rFonts w:ascii="Courier New" w:hAnsi="Courier New" w:cs="Courier New"/>
          <w:sz w:val="20"/>
          <w:szCs w:val="20"/>
        </w:rPr>
        <w:t>комбинированное</w:t>
      </w:r>
      <w:proofErr w:type="gramEnd"/>
      <w:r>
        <w:rPr>
          <w:rFonts w:ascii="Courier New" w:hAnsi="Courier New" w:cs="Courier New"/>
          <w:sz w:val="20"/>
          <w:szCs w:val="20"/>
        </w:rPr>
        <w:t xml:space="preserve"> * │         1000       │</w:t>
      </w:r>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w:t>
      </w:r>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       фрезерные       │ комбинированное * │         1000       │</w:t>
      </w:r>
    </w:p>
    <w:p w:rsidR="00DF2172" w:rsidRDefault="00DF2172" w:rsidP="00DF2172">
      <w:pPr>
        <w:pStyle w:val="ConsPlusCell"/>
        <w:rPr>
          <w:rFonts w:ascii="Courier New" w:hAnsi="Courier New" w:cs="Courier New"/>
          <w:sz w:val="20"/>
          <w:szCs w:val="20"/>
        </w:rPr>
      </w:pPr>
      <w:r>
        <w:rPr>
          <w:rFonts w:ascii="Courier New" w:hAnsi="Courier New" w:cs="Courier New"/>
          <w:sz w:val="20"/>
          <w:szCs w:val="20"/>
        </w:rPr>
        <w:t>└───────────────────────┴───────────────────┴────────────────────┘</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Доля общего освещения при указанных видах зрительных работ подростков составляет не менее 50%.</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При использовании ламп накаливания нормы освещенности снижаются на 1 - 2 ступени шкалы освещенности в зависимости от точности работ по </w:t>
      </w:r>
      <w:proofErr w:type="spellStart"/>
      <w:r>
        <w:rPr>
          <w:rFonts w:ascii="Times New Roman" w:hAnsi="Times New Roman" w:cs="Times New Roman"/>
          <w:sz w:val="24"/>
          <w:szCs w:val="24"/>
        </w:rPr>
        <w:t>СНиП</w:t>
      </w:r>
      <w:proofErr w:type="spellEnd"/>
      <w:r>
        <w:rPr>
          <w:rFonts w:ascii="Times New Roman" w:hAnsi="Times New Roman" w:cs="Times New Roman"/>
          <w:sz w:val="24"/>
          <w:szCs w:val="24"/>
        </w:rPr>
        <w:t xml:space="preserve"> о естественном и искусственном освещении.</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2</w:t>
      </w:r>
    </w:p>
    <w:p w:rsidR="00DF2172" w:rsidRDefault="00DF2172" w:rsidP="00DF217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2.4.3.1186-03</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bookmarkStart w:id="4" w:name="Par598"/>
      <w:bookmarkEnd w:id="4"/>
      <w:r>
        <w:rPr>
          <w:rFonts w:ascii="Times New Roman" w:hAnsi="Times New Roman" w:cs="Times New Roman"/>
          <w:sz w:val="24"/>
          <w:szCs w:val="24"/>
        </w:rPr>
        <w:t>ГРУППИРОВКА</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ПРЕДМЕТОВ ПО СТЕПЕНИ СЛОЖНОСТИ УСВОЕНИЯ</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УЧЕБНОГО МАТЕРИАЛА</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Первая степень сложности - учебные дисциплины, изучение которых требует от учащихся умения оперировать абстрактными понятиями, способности усваивать сущность явлений, законов, категорий, а также запоминать большое количество фактического материала: математика, физика, история, обществоведение, изучение языков.</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Вторая степень сложности - предметы, в которых доля абстрактных понятий значительно снижается по сравнению с учебными дисциплинами первой группы, при этом учащиеся должны усваивать законы, факты, что вносит некоторое разнообразие в характер их умственной деятельности: химия, специальная технология и др.</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Третья степень сложности - предметы, имеющие прикладной характер; при их изучении учащиеся, используя известные законы и теории, усваивают фактический материал: материаловедение, организация и технология производства работ и др.</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Четвертая степень сложности - предметы, изучение которых помимо умственного труда требует значительного объема физических действий: физическое воспитание, начальная военная подготовка.</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3</w:t>
      </w:r>
    </w:p>
    <w:p w:rsidR="00DF2172" w:rsidRDefault="00DF2172" w:rsidP="00DF217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2.4.3.1186-03</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bookmarkStart w:id="5" w:name="Par614"/>
      <w:bookmarkEnd w:id="5"/>
      <w:r>
        <w:rPr>
          <w:rFonts w:ascii="Times New Roman" w:hAnsi="Times New Roman" w:cs="Times New Roman"/>
          <w:sz w:val="24"/>
          <w:szCs w:val="24"/>
        </w:rPr>
        <w:t>РЕКОМЕНДАЦИИ</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 ОРГАНИЗАЦИИ ФИЗИЧЕСКОГО ВОСПИТАНИЯ</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ОБУЧАЮЩИХСЯ В УЧРЕЖДЕНИЯХ НПО</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В распорядке дня учреждения НПО рекомендуется отразить физкультурно-оздоровительные мероприятия, которые должны организовываться в течение учебного </w:t>
      </w:r>
      <w:r>
        <w:rPr>
          <w:rFonts w:ascii="Times New Roman" w:hAnsi="Times New Roman" w:cs="Times New Roman"/>
          <w:sz w:val="24"/>
          <w:szCs w:val="24"/>
        </w:rPr>
        <w:lastRenderedPageBreak/>
        <w:t>дня, - гимнастика до занятий, уроки физкультуры, подвижная перемена, факультативные занятия, расписание секций.</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Гимнастику до начала теоретических занятий или производственной практики проводят ежедневно с целью ускорения врабатываемости организма. Продолжительность занятий около 10 минут. Используют как </w:t>
      </w:r>
      <w:proofErr w:type="spellStart"/>
      <w:r>
        <w:rPr>
          <w:rFonts w:ascii="Times New Roman" w:hAnsi="Times New Roman" w:cs="Times New Roman"/>
          <w:sz w:val="24"/>
          <w:szCs w:val="24"/>
        </w:rPr>
        <w:t>общеразвивающие</w:t>
      </w:r>
      <w:proofErr w:type="spellEnd"/>
      <w:r>
        <w:rPr>
          <w:rFonts w:ascii="Times New Roman" w:hAnsi="Times New Roman" w:cs="Times New Roman"/>
          <w:sz w:val="24"/>
          <w:szCs w:val="24"/>
        </w:rPr>
        <w:t>, так и специальные гимнастические упражнения для тех групп мышц, которые преимущественно участвуют в предстоящей работе. Занятия проводят в учебных помещениях или мастерских под контролем преподавателя (мастера).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Физкультурные паузы продолжительностью 3 - 5 минут проводят при теоретическом обучении в середине третьего и пятого уроков с целью снятия утомления, улучшения кровообращения и дыхания организма обучающихся. При производственном обучении в мастерских или на базовых предприятиях физкультурные паузы также проводят во второй половине занятий с целью снятия утомления и повышения работоспособности организма.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При наличии неблагоприятных производственных факторов (шум, вибрация, запыленность, загазованность, наличие микроклимата) физкультурная пауза проводится вне производственного помещения, т.е. в местах, специально отведенных для отдыха.</w:t>
      </w:r>
      <w:proofErr w:type="gramEnd"/>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Подвижная перемена проводится продолжительностью не менее 20 минут, после двух уроков теоретического обучения. Организация и проведение перемены возложены на руководителя физического воспитания и на преподавателя, проводящего предшествующий урок. Цель занятий - оптимизация двигательного режима и профилактика переутомления обучающихся.</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w:t>
      </w:r>
      <w:proofErr w:type="gramStart"/>
      <w:r>
        <w:rPr>
          <w:rFonts w:ascii="Times New Roman" w:hAnsi="Times New Roman" w:cs="Times New Roman"/>
          <w:sz w:val="24"/>
          <w:szCs w:val="24"/>
        </w:rPr>
        <w:t>При организации урока физической культуры продолжительностью 45 минут на подготовительную часть отводят 8 - 15 минут, на основную - 25 - 30 минут и на заключительную - 3 - 5 минут.</w:t>
      </w:r>
      <w:proofErr w:type="gramEnd"/>
      <w:r>
        <w:rPr>
          <w:rFonts w:ascii="Times New Roman" w:hAnsi="Times New Roman" w:cs="Times New Roman"/>
          <w:sz w:val="24"/>
          <w:szCs w:val="24"/>
        </w:rPr>
        <w:t xml:space="preserve"> Моторная плотность урока должна составлять 60 - 80%. В основной части урока задают физическую нагрузку на уровне частоты пульса 170 - 180 уд/мин. На профессионально-прикладную физическую подготовку (ППФП) отводят 20 - 40% от общего времени урока.</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Рекомендуется проводить 1 - 2 специализированных урока физической культуры в неделю с высокой интенсивностью нагрузки (моторная плотность 80 - 100%) и избирательной направленностью на развитие ключевых профессионально-значимых функций, характерных для осваиваемой профессии.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На период производственной практики и каникул руководитель физического воспитания учреждения НПО дает обучающимся "домашнее задание" для самостоятельных занятий физическими упражнениями. Задания должны быть связаны с учебной программой, быть конкретными и проверяемыми.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 Педагогический коллектив учреждения НПО формирует </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 xml:space="preserve"> обучающихся положительную мотивацию к регулярным занятиям физкультурой и спортом во </w:t>
      </w:r>
      <w:proofErr w:type="spellStart"/>
      <w:r>
        <w:rPr>
          <w:rFonts w:ascii="Times New Roman" w:hAnsi="Times New Roman" w:cs="Times New Roman"/>
          <w:sz w:val="24"/>
          <w:szCs w:val="24"/>
        </w:rPr>
        <w:t>внеучебное</w:t>
      </w:r>
      <w:proofErr w:type="spellEnd"/>
      <w:r>
        <w:rPr>
          <w:rFonts w:ascii="Times New Roman" w:hAnsi="Times New Roman" w:cs="Times New Roman"/>
          <w:sz w:val="24"/>
          <w:szCs w:val="24"/>
        </w:rPr>
        <w:t xml:space="preserve"> время. Эти занятия включают утреннюю физическую зарядку в сочетании с закаливающими процедурами, самостоятельные занятия и тренировки с учетом профессионально-прикладной направленности и полезности для дальнейшей профессиональной деятельности.</w:t>
      </w: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9. При организации внеклассной спортивной работы следует культивировать те виды спорта, которые обладают профессионально-прикладной эффективностью и учитывают специфику выбранной профессии. Примеры представлены в таблице:</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center"/>
        <w:outlineLvl w:val="2"/>
        <w:rPr>
          <w:rFonts w:ascii="Times New Roman" w:hAnsi="Times New Roman" w:cs="Times New Roman"/>
          <w:sz w:val="24"/>
          <w:szCs w:val="24"/>
        </w:rPr>
      </w:pPr>
      <w:r>
        <w:rPr>
          <w:rFonts w:ascii="Times New Roman" w:hAnsi="Times New Roman" w:cs="Times New Roman"/>
          <w:sz w:val="24"/>
          <w:szCs w:val="24"/>
        </w:rPr>
        <w:t>Рекомендуемые виды спорта</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2400"/>
        <w:gridCol w:w="5640"/>
      </w:tblGrid>
      <w:tr w:rsidR="00DF2172">
        <w:tblPrEx>
          <w:tblCellMar>
            <w:top w:w="0" w:type="dxa"/>
            <w:bottom w:w="0" w:type="dxa"/>
          </w:tblCellMar>
        </w:tblPrEx>
        <w:trPr>
          <w:trHeight w:val="400"/>
          <w:tblCellSpacing w:w="5" w:type="nil"/>
        </w:trPr>
        <w:tc>
          <w:tcPr>
            <w:tcW w:w="2400" w:type="dxa"/>
            <w:tcBorders>
              <w:top w:val="single" w:sz="4" w:space="0" w:color="auto"/>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1. Машиностроение </w:t>
            </w:r>
            <w:r>
              <w:rPr>
                <w:rFonts w:ascii="Courier New" w:hAnsi="Courier New" w:cs="Courier New"/>
                <w:sz w:val="20"/>
                <w:szCs w:val="20"/>
              </w:rPr>
              <w:br/>
              <w:t>и металлообработка</w:t>
            </w:r>
          </w:p>
        </w:tc>
        <w:tc>
          <w:tcPr>
            <w:tcW w:w="5640" w:type="dxa"/>
            <w:tcBorders>
              <w:top w:val="single" w:sz="4" w:space="0" w:color="auto"/>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спортивные игры,   легкая   атлетика,  борьба</w:t>
            </w:r>
            <w:r>
              <w:rPr>
                <w:rFonts w:ascii="Courier New" w:hAnsi="Courier New" w:cs="Courier New"/>
                <w:sz w:val="20"/>
                <w:szCs w:val="20"/>
              </w:rPr>
              <w:br/>
              <w:t>вольная и классическая, лыжные гонки, городки</w:t>
            </w:r>
          </w:p>
        </w:tc>
      </w:tr>
      <w:tr w:rsidR="00DF2172">
        <w:tblPrEx>
          <w:tblCellMar>
            <w:top w:w="0" w:type="dxa"/>
            <w:bottom w:w="0" w:type="dxa"/>
          </w:tblCellMar>
        </w:tblPrEx>
        <w:trPr>
          <w:trHeight w:val="600"/>
          <w:tblCellSpacing w:w="5" w:type="nil"/>
        </w:trPr>
        <w:tc>
          <w:tcPr>
            <w:tcW w:w="240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2. </w:t>
            </w:r>
            <w:proofErr w:type="spellStart"/>
            <w:r>
              <w:rPr>
                <w:rFonts w:ascii="Courier New" w:hAnsi="Courier New" w:cs="Courier New"/>
                <w:sz w:val="20"/>
                <w:szCs w:val="20"/>
              </w:rPr>
              <w:t>Радиотехниче</w:t>
            </w:r>
            <w:proofErr w:type="gramStart"/>
            <w:r>
              <w:rPr>
                <w:rFonts w:ascii="Courier New" w:hAnsi="Courier New" w:cs="Courier New"/>
                <w:sz w:val="20"/>
                <w:szCs w:val="20"/>
              </w:rPr>
              <w:t>с</w:t>
            </w:r>
            <w:proofErr w:type="spellEnd"/>
            <w:r>
              <w:rPr>
                <w:rFonts w:ascii="Courier New" w:hAnsi="Courier New" w:cs="Courier New"/>
                <w:sz w:val="20"/>
                <w:szCs w:val="20"/>
              </w:rPr>
              <w:t>-</w:t>
            </w:r>
            <w:proofErr w:type="gramEnd"/>
            <w:r>
              <w:rPr>
                <w:rFonts w:ascii="Courier New" w:hAnsi="Courier New" w:cs="Courier New"/>
                <w:sz w:val="20"/>
                <w:szCs w:val="20"/>
              </w:rPr>
              <w:t xml:space="preserve"> </w:t>
            </w:r>
            <w:r>
              <w:rPr>
                <w:rFonts w:ascii="Courier New" w:hAnsi="Courier New" w:cs="Courier New"/>
                <w:sz w:val="20"/>
                <w:szCs w:val="20"/>
              </w:rPr>
              <w:br/>
              <w:t xml:space="preserve">кое и электронное </w:t>
            </w:r>
            <w:r>
              <w:rPr>
                <w:rFonts w:ascii="Courier New" w:hAnsi="Courier New" w:cs="Courier New"/>
                <w:sz w:val="20"/>
                <w:szCs w:val="20"/>
              </w:rPr>
              <w:br/>
              <w:t xml:space="preserve">производство      </w:t>
            </w:r>
          </w:p>
        </w:tc>
        <w:tc>
          <w:tcPr>
            <w:tcW w:w="56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баскетбол, волейбол,  ручной   мяч,   теннис,</w:t>
            </w:r>
            <w:r>
              <w:rPr>
                <w:rFonts w:ascii="Courier New" w:hAnsi="Courier New" w:cs="Courier New"/>
                <w:sz w:val="20"/>
                <w:szCs w:val="20"/>
              </w:rPr>
              <w:br/>
              <w:t xml:space="preserve">настольный теннис                            </w:t>
            </w:r>
          </w:p>
        </w:tc>
      </w:tr>
      <w:tr w:rsidR="00DF2172">
        <w:tblPrEx>
          <w:tblCellMar>
            <w:top w:w="0" w:type="dxa"/>
            <w:bottom w:w="0" w:type="dxa"/>
          </w:tblCellMar>
        </w:tblPrEx>
        <w:trPr>
          <w:trHeight w:val="800"/>
          <w:tblCellSpacing w:w="5" w:type="nil"/>
        </w:trPr>
        <w:tc>
          <w:tcPr>
            <w:tcW w:w="240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lastRenderedPageBreak/>
              <w:t xml:space="preserve">3. Химические и   </w:t>
            </w:r>
            <w:r>
              <w:rPr>
                <w:rFonts w:ascii="Courier New" w:hAnsi="Courier New" w:cs="Courier New"/>
                <w:sz w:val="20"/>
                <w:szCs w:val="20"/>
              </w:rPr>
              <w:br/>
              <w:t xml:space="preserve">нефтехимические   </w:t>
            </w:r>
            <w:r>
              <w:rPr>
                <w:rFonts w:ascii="Courier New" w:hAnsi="Courier New" w:cs="Courier New"/>
                <w:sz w:val="20"/>
                <w:szCs w:val="20"/>
              </w:rPr>
              <w:br/>
              <w:t xml:space="preserve">производства      </w:t>
            </w:r>
          </w:p>
        </w:tc>
        <w:tc>
          <w:tcPr>
            <w:tcW w:w="56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proofErr w:type="gramStart"/>
            <w:r>
              <w:rPr>
                <w:rFonts w:ascii="Courier New" w:hAnsi="Courier New" w:cs="Courier New"/>
                <w:sz w:val="20"/>
                <w:szCs w:val="20"/>
              </w:rPr>
              <w:t>легкая и тяжелая атлетика,  баскетбол, ручной</w:t>
            </w:r>
            <w:r>
              <w:rPr>
                <w:rFonts w:ascii="Courier New" w:hAnsi="Courier New" w:cs="Courier New"/>
                <w:sz w:val="20"/>
                <w:szCs w:val="20"/>
              </w:rPr>
              <w:br/>
              <w:t>мяч,  волейбол,  настольный теннис, плавание;</w:t>
            </w:r>
            <w:r>
              <w:rPr>
                <w:rFonts w:ascii="Courier New" w:hAnsi="Courier New" w:cs="Courier New"/>
                <w:sz w:val="20"/>
                <w:szCs w:val="20"/>
              </w:rPr>
              <w:br/>
              <w:t>для  слесарей-ремонтников   -    вольная    и</w:t>
            </w:r>
            <w:r>
              <w:rPr>
                <w:rFonts w:ascii="Courier New" w:hAnsi="Courier New" w:cs="Courier New"/>
                <w:sz w:val="20"/>
                <w:szCs w:val="20"/>
              </w:rPr>
              <w:br/>
              <w:t xml:space="preserve">классическая борьба, лыжный спорт, городки   </w:t>
            </w:r>
            <w:proofErr w:type="gramEnd"/>
          </w:p>
        </w:tc>
      </w:tr>
      <w:tr w:rsidR="00DF2172">
        <w:tblPrEx>
          <w:tblCellMar>
            <w:top w:w="0" w:type="dxa"/>
            <w:bottom w:w="0" w:type="dxa"/>
          </w:tblCellMar>
        </w:tblPrEx>
        <w:trPr>
          <w:trHeight w:val="600"/>
          <w:tblCellSpacing w:w="5" w:type="nil"/>
        </w:trPr>
        <w:tc>
          <w:tcPr>
            <w:tcW w:w="240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4. </w:t>
            </w:r>
            <w:proofErr w:type="spellStart"/>
            <w:r>
              <w:rPr>
                <w:rFonts w:ascii="Courier New" w:hAnsi="Courier New" w:cs="Courier New"/>
                <w:sz w:val="20"/>
                <w:szCs w:val="20"/>
              </w:rPr>
              <w:t>Металлургиче</w:t>
            </w:r>
            <w:proofErr w:type="gramStart"/>
            <w:r>
              <w:rPr>
                <w:rFonts w:ascii="Courier New" w:hAnsi="Courier New" w:cs="Courier New"/>
                <w:sz w:val="20"/>
                <w:szCs w:val="20"/>
              </w:rPr>
              <w:t>с</w:t>
            </w:r>
            <w:proofErr w:type="spellEnd"/>
            <w:r>
              <w:rPr>
                <w:rFonts w:ascii="Courier New" w:hAnsi="Courier New" w:cs="Courier New"/>
                <w:sz w:val="20"/>
                <w:szCs w:val="20"/>
              </w:rPr>
              <w:t>-</w:t>
            </w:r>
            <w:proofErr w:type="gramEnd"/>
            <w:r>
              <w:rPr>
                <w:rFonts w:ascii="Courier New" w:hAnsi="Courier New" w:cs="Courier New"/>
                <w:sz w:val="20"/>
                <w:szCs w:val="20"/>
              </w:rPr>
              <w:t xml:space="preserve"> </w:t>
            </w:r>
            <w:r>
              <w:rPr>
                <w:rFonts w:ascii="Courier New" w:hAnsi="Courier New" w:cs="Courier New"/>
                <w:sz w:val="20"/>
                <w:szCs w:val="20"/>
              </w:rPr>
              <w:br/>
              <w:t xml:space="preserve">кое производство  </w:t>
            </w:r>
          </w:p>
        </w:tc>
        <w:tc>
          <w:tcPr>
            <w:tcW w:w="56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легкая и    тяжелая    атлетика,   лыжный   и</w:t>
            </w:r>
            <w:r>
              <w:rPr>
                <w:rFonts w:ascii="Courier New" w:hAnsi="Courier New" w:cs="Courier New"/>
                <w:sz w:val="20"/>
                <w:szCs w:val="20"/>
              </w:rPr>
              <w:br/>
              <w:t>конькобежный  спорт,  гимнастика,  велоспорт,</w:t>
            </w:r>
            <w:r>
              <w:rPr>
                <w:rFonts w:ascii="Courier New" w:hAnsi="Courier New" w:cs="Courier New"/>
                <w:sz w:val="20"/>
                <w:szCs w:val="20"/>
              </w:rPr>
              <w:br/>
              <w:t xml:space="preserve">туризм, фехтование                           </w:t>
            </w:r>
          </w:p>
        </w:tc>
      </w:tr>
      <w:tr w:rsidR="00DF2172">
        <w:tblPrEx>
          <w:tblCellMar>
            <w:top w:w="0" w:type="dxa"/>
            <w:bottom w:w="0" w:type="dxa"/>
          </w:tblCellMar>
        </w:tblPrEx>
        <w:trPr>
          <w:trHeight w:val="800"/>
          <w:tblCellSpacing w:w="5" w:type="nil"/>
        </w:trPr>
        <w:tc>
          <w:tcPr>
            <w:tcW w:w="240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5. Добыча и пер</w:t>
            </w:r>
            <w:proofErr w:type="gramStart"/>
            <w:r>
              <w:rPr>
                <w:rFonts w:ascii="Courier New" w:hAnsi="Courier New" w:cs="Courier New"/>
                <w:sz w:val="20"/>
                <w:szCs w:val="20"/>
              </w:rPr>
              <w:t>е-</w:t>
            </w:r>
            <w:proofErr w:type="gramEnd"/>
            <w:r>
              <w:rPr>
                <w:rFonts w:ascii="Courier New" w:hAnsi="Courier New" w:cs="Courier New"/>
                <w:sz w:val="20"/>
                <w:szCs w:val="20"/>
              </w:rPr>
              <w:t xml:space="preserve"> </w:t>
            </w:r>
            <w:r>
              <w:rPr>
                <w:rFonts w:ascii="Courier New" w:hAnsi="Courier New" w:cs="Courier New"/>
                <w:sz w:val="20"/>
                <w:szCs w:val="20"/>
              </w:rPr>
              <w:br/>
              <w:t xml:space="preserve">работка угля      </w:t>
            </w:r>
          </w:p>
        </w:tc>
        <w:tc>
          <w:tcPr>
            <w:tcW w:w="56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гимнастика, борьба  - для машинистов угольных</w:t>
            </w:r>
            <w:r>
              <w:rPr>
                <w:rFonts w:ascii="Courier New" w:hAnsi="Courier New" w:cs="Courier New"/>
                <w:sz w:val="20"/>
                <w:szCs w:val="20"/>
              </w:rPr>
              <w:br/>
              <w:t>комбайнов    и    электрослесарей    шахтного</w:t>
            </w:r>
            <w:r>
              <w:rPr>
                <w:rFonts w:ascii="Courier New" w:hAnsi="Courier New" w:cs="Courier New"/>
                <w:sz w:val="20"/>
                <w:szCs w:val="20"/>
              </w:rPr>
              <w:br/>
              <w:t>оборудования;  баскетбол, настольный теннис -</w:t>
            </w:r>
            <w:r>
              <w:rPr>
                <w:rFonts w:ascii="Courier New" w:hAnsi="Courier New" w:cs="Courier New"/>
                <w:sz w:val="20"/>
                <w:szCs w:val="20"/>
              </w:rPr>
              <w:br/>
              <w:t xml:space="preserve">для машинистов шахтных электровозов          </w:t>
            </w:r>
          </w:p>
        </w:tc>
      </w:tr>
      <w:tr w:rsidR="00DF2172">
        <w:tblPrEx>
          <w:tblCellMar>
            <w:top w:w="0" w:type="dxa"/>
            <w:bottom w:w="0" w:type="dxa"/>
          </w:tblCellMar>
        </w:tblPrEx>
        <w:trPr>
          <w:trHeight w:val="600"/>
          <w:tblCellSpacing w:w="5" w:type="nil"/>
        </w:trPr>
        <w:tc>
          <w:tcPr>
            <w:tcW w:w="240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6. Текстильное    </w:t>
            </w:r>
            <w:r>
              <w:rPr>
                <w:rFonts w:ascii="Courier New" w:hAnsi="Courier New" w:cs="Courier New"/>
                <w:sz w:val="20"/>
                <w:szCs w:val="20"/>
              </w:rPr>
              <w:br/>
              <w:t xml:space="preserve">производство      </w:t>
            </w:r>
          </w:p>
        </w:tc>
        <w:tc>
          <w:tcPr>
            <w:tcW w:w="56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легкая атлетика (бег  на  средние  и  длинные</w:t>
            </w:r>
            <w:r>
              <w:rPr>
                <w:rFonts w:ascii="Courier New" w:hAnsi="Courier New" w:cs="Courier New"/>
                <w:sz w:val="20"/>
                <w:szCs w:val="20"/>
              </w:rPr>
              <w:br/>
              <w:t>дистанции,   спортивная  ходьба),  баскетбол,</w:t>
            </w:r>
            <w:r>
              <w:rPr>
                <w:rFonts w:ascii="Courier New" w:hAnsi="Courier New" w:cs="Courier New"/>
                <w:sz w:val="20"/>
                <w:szCs w:val="20"/>
              </w:rPr>
              <w:br/>
              <w:t xml:space="preserve">плавание                                     </w:t>
            </w:r>
          </w:p>
        </w:tc>
      </w:tr>
      <w:tr w:rsidR="00DF2172">
        <w:tblPrEx>
          <w:tblCellMar>
            <w:top w:w="0" w:type="dxa"/>
            <w:bottom w:w="0" w:type="dxa"/>
          </w:tblCellMar>
        </w:tblPrEx>
        <w:trPr>
          <w:trHeight w:val="400"/>
          <w:tblCellSpacing w:w="5" w:type="nil"/>
        </w:trPr>
        <w:tc>
          <w:tcPr>
            <w:tcW w:w="240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7. Производство   </w:t>
            </w:r>
            <w:r>
              <w:rPr>
                <w:rFonts w:ascii="Courier New" w:hAnsi="Courier New" w:cs="Courier New"/>
                <w:sz w:val="20"/>
                <w:szCs w:val="20"/>
              </w:rPr>
              <w:br/>
              <w:t xml:space="preserve">обуви             </w:t>
            </w:r>
          </w:p>
        </w:tc>
        <w:tc>
          <w:tcPr>
            <w:tcW w:w="56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баскетбол, волейбол, легкая атлетика         </w:t>
            </w:r>
          </w:p>
        </w:tc>
      </w:tr>
      <w:tr w:rsidR="00DF2172">
        <w:tblPrEx>
          <w:tblCellMar>
            <w:top w:w="0" w:type="dxa"/>
            <w:bottom w:w="0" w:type="dxa"/>
          </w:tblCellMar>
        </w:tblPrEx>
        <w:trPr>
          <w:trHeight w:val="600"/>
          <w:tblCellSpacing w:w="5" w:type="nil"/>
        </w:trPr>
        <w:tc>
          <w:tcPr>
            <w:tcW w:w="240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8. Строительство  </w:t>
            </w:r>
          </w:p>
        </w:tc>
        <w:tc>
          <w:tcPr>
            <w:tcW w:w="56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спортивная гимнастика, плавание, лыжный спорт</w:t>
            </w:r>
            <w:r>
              <w:rPr>
                <w:rFonts w:ascii="Courier New" w:hAnsi="Courier New" w:cs="Courier New"/>
                <w:sz w:val="20"/>
                <w:szCs w:val="20"/>
              </w:rPr>
              <w:br/>
              <w:t>(для каменщиков);  прыжки в воду и батут (для</w:t>
            </w:r>
            <w:r>
              <w:rPr>
                <w:rFonts w:ascii="Courier New" w:hAnsi="Courier New" w:cs="Courier New"/>
                <w:sz w:val="20"/>
                <w:szCs w:val="20"/>
              </w:rPr>
              <w:br/>
              <w:t xml:space="preserve">монтажников)                                 </w:t>
            </w:r>
          </w:p>
        </w:tc>
      </w:tr>
      <w:tr w:rsidR="00DF2172">
        <w:tblPrEx>
          <w:tblCellMar>
            <w:top w:w="0" w:type="dxa"/>
            <w:bottom w:w="0" w:type="dxa"/>
          </w:tblCellMar>
        </w:tblPrEx>
        <w:trPr>
          <w:trHeight w:val="400"/>
          <w:tblCellSpacing w:w="5" w:type="nil"/>
        </w:trPr>
        <w:tc>
          <w:tcPr>
            <w:tcW w:w="240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 xml:space="preserve">9. Сельское </w:t>
            </w:r>
            <w:proofErr w:type="spellStart"/>
            <w:r>
              <w:rPr>
                <w:rFonts w:ascii="Courier New" w:hAnsi="Courier New" w:cs="Courier New"/>
                <w:sz w:val="20"/>
                <w:szCs w:val="20"/>
              </w:rPr>
              <w:t>хозя</w:t>
            </w:r>
            <w:proofErr w:type="gramStart"/>
            <w:r>
              <w:rPr>
                <w:rFonts w:ascii="Courier New" w:hAnsi="Courier New" w:cs="Courier New"/>
                <w:sz w:val="20"/>
                <w:szCs w:val="20"/>
              </w:rPr>
              <w:t>й</w:t>
            </w:r>
            <w:proofErr w:type="spellEnd"/>
            <w:r>
              <w:rPr>
                <w:rFonts w:ascii="Courier New" w:hAnsi="Courier New" w:cs="Courier New"/>
                <w:sz w:val="20"/>
                <w:szCs w:val="20"/>
              </w:rPr>
              <w:t>-</w:t>
            </w:r>
            <w:proofErr w:type="gramEnd"/>
            <w:r>
              <w:rPr>
                <w:rFonts w:ascii="Courier New" w:hAnsi="Courier New" w:cs="Courier New"/>
                <w:sz w:val="20"/>
                <w:szCs w:val="20"/>
              </w:rPr>
              <w:br/>
            </w:r>
            <w:proofErr w:type="spellStart"/>
            <w:r>
              <w:rPr>
                <w:rFonts w:ascii="Courier New" w:hAnsi="Courier New" w:cs="Courier New"/>
                <w:sz w:val="20"/>
                <w:szCs w:val="20"/>
              </w:rPr>
              <w:t>ство</w:t>
            </w:r>
            <w:proofErr w:type="spellEnd"/>
            <w:r>
              <w:rPr>
                <w:rFonts w:ascii="Courier New" w:hAnsi="Courier New" w:cs="Courier New"/>
                <w:sz w:val="20"/>
                <w:szCs w:val="20"/>
              </w:rPr>
              <w:t xml:space="preserve">              </w:t>
            </w:r>
          </w:p>
        </w:tc>
        <w:tc>
          <w:tcPr>
            <w:tcW w:w="5640" w:type="dxa"/>
            <w:tcBorders>
              <w:left w:val="single" w:sz="4" w:space="0" w:color="auto"/>
              <w:bottom w:val="single" w:sz="4" w:space="0" w:color="auto"/>
              <w:right w:val="single" w:sz="4" w:space="0" w:color="auto"/>
            </w:tcBorders>
          </w:tcPr>
          <w:p w:rsidR="00DF2172" w:rsidRDefault="00DF2172">
            <w:pPr>
              <w:pStyle w:val="ConsPlusCell"/>
              <w:rPr>
                <w:rFonts w:ascii="Courier New" w:hAnsi="Courier New" w:cs="Courier New"/>
                <w:sz w:val="20"/>
                <w:szCs w:val="20"/>
              </w:rPr>
            </w:pPr>
            <w:r>
              <w:rPr>
                <w:rFonts w:ascii="Courier New" w:hAnsi="Courier New" w:cs="Courier New"/>
                <w:sz w:val="20"/>
                <w:szCs w:val="20"/>
              </w:rPr>
              <w:t>легкая атлетика,  баскетбол,  гимнастика (для</w:t>
            </w:r>
            <w:r>
              <w:rPr>
                <w:rFonts w:ascii="Courier New" w:hAnsi="Courier New" w:cs="Courier New"/>
                <w:sz w:val="20"/>
                <w:szCs w:val="20"/>
              </w:rPr>
              <w:br/>
              <w:t>водителей с/</w:t>
            </w:r>
            <w:proofErr w:type="spellStart"/>
            <w:r>
              <w:rPr>
                <w:rFonts w:ascii="Courier New" w:hAnsi="Courier New" w:cs="Courier New"/>
                <w:sz w:val="20"/>
                <w:szCs w:val="20"/>
              </w:rPr>
              <w:t>х</w:t>
            </w:r>
            <w:proofErr w:type="spellEnd"/>
            <w:r>
              <w:rPr>
                <w:rFonts w:ascii="Courier New" w:hAnsi="Courier New" w:cs="Courier New"/>
                <w:sz w:val="20"/>
                <w:szCs w:val="20"/>
              </w:rPr>
              <w:t xml:space="preserve"> машин), фехтование             </w:t>
            </w:r>
          </w:p>
        </w:tc>
      </w:tr>
    </w:tbl>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4</w:t>
      </w:r>
    </w:p>
    <w:p w:rsidR="00DF2172" w:rsidRDefault="00DF2172" w:rsidP="00DF217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2.4.3.1186-03</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РЕКОМЕНДУЕМЫЕ ВЕЛИЧИНЫ</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ПОТРЕБЛЕНИЯ ПИЩЕВЫХ ВЕЩЕСТВ И ЭНЕРГИИ</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ДЛЯ ОБУЧАЮЩИХСЯ В УЧРЕЖДЕНИЯХ НПО</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Утратили силу. - </w:t>
      </w:r>
      <w:hyperlink r:id="rId56" w:history="1">
        <w:r>
          <w:rPr>
            <w:rFonts w:ascii="Times New Roman" w:hAnsi="Times New Roman" w:cs="Times New Roman"/>
            <w:color w:val="0000FF"/>
            <w:sz w:val="24"/>
            <w:szCs w:val="24"/>
          </w:rPr>
          <w:t>Постановление</w:t>
        </w:r>
      </w:hyperlink>
      <w:r>
        <w:rPr>
          <w:rFonts w:ascii="Times New Roman" w:hAnsi="Times New Roman" w:cs="Times New Roman"/>
          <w:sz w:val="24"/>
          <w:szCs w:val="24"/>
        </w:rPr>
        <w:t xml:space="preserve"> Главного государственного санитарного врача РФ от 23.07.2008 N 45.</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5</w:t>
      </w:r>
    </w:p>
    <w:p w:rsidR="00DF2172" w:rsidRDefault="00DF2172" w:rsidP="00DF217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2.4.3.1186-03</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НОРМЫ</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ПИТАНИЯ НА 1 УЧАЩЕГОСЯ В ДЕНЬ</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Утратили силу. - </w:t>
      </w:r>
      <w:hyperlink r:id="rId57" w:history="1">
        <w:r>
          <w:rPr>
            <w:rFonts w:ascii="Times New Roman" w:hAnsi="Times New Roman" w:cs="Times New Roman"/>
            <w:color w:val="0000FF"/>
            <w:sz w:val="24"/>
            <w:szCs w:val="24"/>
          </w:rPr>
          <w:t>Постановление</w:t>
        </w:r>
      </w:hyperlink>
      <w:r>
        <w:rPr>
          <w:rFonts w:ascii="Times New Roman" w:hAnsi="Times New Roman" w:cs="Times New Roman"/>
          <w:sz w:val="24"/>
          <w:szCs w:val="24"/>
        </w:rPr>
        <w:t xml:space="preserve"> Главного государственного санитарного врача РФ от 23.07.2008 N 45.</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6</w:t>
      </w:r>
    </w:p>
    <w:p w:rsidR="00DF2172" w:rsidRDefault="00DF2172" w:rsidP="00DF217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2.4.3.1186-03</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ТАБЛИЦА</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ЗАМЕНЫ НЕКОТОРЫХ ПРОДУКТОВ</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Утратила силу. - </w:t>
      </w:r>
      <w:hyperlink r:id="rId58" w:history="1">
        <w:r>
          <w:rPr>
            <w:rFonts w:ascii="Times New Roman" w:hAnsi="Times New Roman" w:cs="Times New Roman"/>
            <w:color w:val="0000FF"/>
            <w:sz w:val="24"/>
            <w:szCs w:val="24"/>
          </w:rPr>
          <w:t>Постановление</w:t>
        </w:r>
      </w:hyperlink>
      <w:r>
        <w:rPr>
          <w:rFonts w:ascii="Times New Roman" w:hAnsi="Times New Roman" w:cs="Times New Roman"/>
          <w:sz w:val="24"/>
          <w:szCs w:val="24"/>
        </w:rPr>
        <w:t xml:space="preserve"> Главного государственного санитарного врача РФ от 23.07.2008 N 45.</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7</w:t>
      </w:r>
    </w:p>
    <w:p w:rsidR="00DF2172" w:rsidRDefault="00DF2172" w:rsidP="00DF2172">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2.4.3.1186-03</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АССОРТИМЕНТ</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ОСНОВНЫХ ПРОДУКТОВ ПИТАНИЯ, РЕКОМЕНДУЕМЫХ</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ДЛЯ ИСПОЛЬЗОВАНИЯ В ПИТАНИИ ДЕТЕЙ И ПОДРОСТКОВ</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 ОРГАНИЗОВАННЫХ КОЛЛЕКТИВАХ</w:t>
      </w:r>
    </w:p>
    <w:p w:rsidR="00DF2172" w:rsidRDefault="00DF2172" w:rsidP="00DF2172">
      <w:pPr>
        <w:autoSpaceDE w:val="0"/>
        <w:autoSpaceDN w:val="0"/>
        <w:adjustRightInd w:val="0"/>
        <w:spacing w:after="0" w:line="240" w:lineRule="auto"/>
        <w:jc w:val="center"/>
        <w:rPr>
          <w:rFonts w:ascii="Times New Roman" w:hAnsi="Times New Roman" w:cs="Times New Roman"/>
          <w:sz w:val="24"/>
          <w:szCs w:val="24"/>
        </w:rPr>
      </w:pPr>
    </w:p>
    <w:p w:rsidR="00DF2172" w:rsidRDefault="00DF2172" w:rsidP="00DF217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Утратил силу. - </w:t>
      </w:r>
      <w:hyperlink r:id="rId59" w:history="1">
        <w:r>
          <w:rPr>
            <w:rFonts w:ascii="Times New Roman" w:hAnsi="Times New Roman" w:cs="Times New Roman"/>
            <w:color w:val="0000FF"/>
            <w:sz w:val="24"/>
            <w:szCs w:val="24"/>
          </w:rPr>
          <w:t>Постановление</w:t>
        </w:r>
      </w:hyperlink>
      <w:r>
        <w:rPr>
          <w:rFonts w:ascii="Times New Roman" w:hAnsi="Times New Roman" w:cs="Times New Roman"/>
          <w:sz w:val="24"/>
          <w:szCs w:val="24"/>
        </w:rPr>
        <w:t xml:space="preserve"> Главного государственного санитарного врача РФ от 23.07.2008 N 45.</w:t>
      </w: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autoSpaceDE w:val="0"/>
        <w:autoSpaceDN w:val="0"/>
        <w:adjustRightInd w:val="0"/>
        <w:spacing w:after="0" w:line="240" w:lineRule="auto"/>
        <w:rPr>
          <w:rFonts w:ascii="Times New Roman" w:hAnsi="Times New Roman" w:cs="Times New Roman"/>
          <w:sz w:val="24"/>
          <w:szCs w:val="24"/>
        </w:rPr>
      </w:pPr>
    </w:p>
    <w:p w:rsidR="00DF2172" w:rsidRDefault="00DF2172" w:rsidP="00DF2172">
      <w:pPr>
        <w:pBdr>
          <w:bottom w:val="single" w:sz="6" w:space="0" w:color="auto"/>
        </w:pBdr>
        <w:autoSpaceDE w:val="0"/>
        <w:autoSpaceDN w:val="0"/>
        <w:adjustRightInd w:val="0"/>
        <w:spacing w:after="0" w:line="240" w:lineRule="auto"/>
        <w:rPr>
          <w:rFonts w:ascii="Times New Roman" w:hAnsi="Times New Roman" w:cs="Times New Roman"/>
          <w:sz w:val="5"/>
          <w:szCs w:val="5"/>
        </w:rPr>
      </w:pPr>
    </w:p>
    <w:p w:rsidR="00963C9E" w:rsidRDefault="00963C9E"/>
    <w:sectPr w:rsidR="00963C9E" w:rsidSect="00B04B3A">
      <w:pgSz w:w="11905" w:h="16838"/>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F2172"/>
    <w:rsid w:val="00963C9E"/>
    <w:rsid w:val="00DF21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C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F2172"/>
    <w:pPr>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A11CE06F38A708477A63B147D5169FD0FB26A69BC08F18F83010A029A4EF7D771BD8360C9137D7B0DXFI" TargetMode="External"/><Relationship Id="rId18" Type="http://schemas.openxmlformats.org/officeDocument/2006/relationships/hyperlink" Target="consultantplus://offline/ref=DA11CE06F38A708477A63B147D5169FD09BA6A6FB004AC858B5806009D41A8C076F48F61C9137C07XBI" TargetMode="External"/><Relationship Id="rId26" Type="http://schemas.openxmlformats.org/officeDocument/2006/relationships/hyperlink" Target="consultantplus://offline/ref=DA11CE06F38A708477A63B147D5169FD07B06D6EB304AC858B5806009D41A8C076F48F61C9137F07XBI" TargetMode="External"/><Relationship Id="rId39" Type="http://schemas.openxmlformats.org/officeDocument/2006/relationships/hyperlink" Target="consultantplus://offline/ref=DA11CE06F38A708477A63B147D5169FD0FB26D6EB209F18F83010A029A4EF7D771BD8360C9137D7B0DX0I" TargetMode="External"/><Relationship Id="rId21" Type="http://schemas.openxmlformats.org/officeDocument/2006/relationships/hyperlink" Target="consultantplus://offline/ref=DA11CE06F38A708477A63B147D5169FD07BA6A62BD04AC858B5806009D41A8C076F48F61C9137C07XDI" TargetMode="External"/><Relationship Id="rId34" Type="http://schemas.openxmlformats.org/officeDocument/2006/relationships/hyperlink" Target="consultantplus://offline/ref=DA11CE06F38A708477A63B147D5169FD0FB76B63B609F18F83010A029A4EF7D771BD8360C9137D7A0DXAI" TargetMode="External"/><Relationship Id="rId42" Type="http://schemas.openxmlformats.org/officeDocument/2006/relationships/hyperlink" Target="consultantplus://offline/ref=DA11CE06F38A708477A63B147D5169FD07B06D6EB304AC858B5806009D41A8C076F48F61C9137E07X9I" TargetMode="External"/><Relationship Id="rId47" Type="http://schemas.openxmlformats.org/officeDocument/2006/relationships/hyperlink" Target="consultantplus://offline/ref=DA11CE06F38A708477A63B147D5169FD0AB26862B704AC858B5806009D41A8C076F48F61C9137C07XDI" TargetMode="External"/><Relationship Id="rId50" Type="http://schemas.openxmlformats.org/officeDocument/2006/relationships/hyperlink" Target="consultantplus://offline/ref=DA11CE06F38A708477A63B147D5169FD0FB7616BB409F18F83010A029A4EF7D771BD8360C9137B7A0DX0I" TargetMode="External"/><Relationship Id="rId55" Type="http://schemas.openxmlformats.org/officeDocument/2006/relationships/hyperlink" Target="consultantplus://offline/ref=DA11CE06F38A708477A63B147D5169FD08BB6869B004AC858B5806009D41A8C076F48F61C9137C07X8I" TargetMode="External"/><Relationship Id="rId7" Type="http://schemas.openxmlformats.org/officeDocument/2006/relationships/hyperlink" Target="consultantplus://offline/ref=DA11CE06F38A708477A63B147D5169FD0FB26A69BC08F18F83010A029A4EF7D771BD8360C9137D7B0DXFI" TargetMode="External"/><Relationship Id="rId2" Type="http://schemas.openxmlformats.org/officeDocument/2006/relationships/settings" Target="settings.xml"/><Relationship Id="rId16" Type="http://schemas.openxmlformats.org/officeDocument/2006/relationships/hyperlink" Target="consultantplus://offline/ref=DA11CE06F38A708477A63B147D5169FD0AB26862B704AC858B5806009D41A8C076F48F61C9137C07XDI" TargetMode="External"/><Relationship Id="rId20" Type="http://schemas.openxmlformats.org/officeDocument/2006/relationships/hyperlink" Target="consultantplus://offline/ref=DA11CE06F38A708477A63B147D5169FD07BA6A62BD04AC858B5806009D41A8C076F48F61C9137C07XDI" TargetMode="External"/><Relationship Id="rId29" Type="http://schemas.openxmlformats.org/officeDocument/2006/relationships/hyperlink" Target="consultantplus://offline/ref=DA11CE06F38A708477A63B147D5169FD0FB26D6EB209F18F83010A029A4EF7D771BD8360C9137D7B0DX0I" TargetMode="External"/><Relationship Id="rId41" Type="http://schemas.openxmlformats.org/officeDocument/2006/relationships/hyperlink" Target="consultantplus://offline/ref=DA11CE06F38A708477A63B147D5169FD0FB36E6AB70DF18F83010A029A4EF7D771BD8360C9137F7D0DXCI" TargetMode="External"/><Relationship Id="rId54" Type="http://schemas.openxmlformats.org/officeDocument/2006/relationships/hyperlink" Target="consultantplus://offline/ref=DA11CE06F38A708477A63B147D5169FD0FB7616DB00BF18F83010A029A4EF7D771BD8360C912787C0DXCI" TargetMode="External"/><Relationship Id="rId1" Type="http://schemas.openxmlformats.org/officeDocument/2006/relationships/styles" Target="styles.xml"/><Relationship Id="rId6" Type="http://schemas.openxmlformats.org/officeDocument/2006/relationships/hyperlink" Target="consultantplus://offline/ref=DA11CE06F38A708477A63B147D5169FD07B06D6EB304AC858B5806009D41A8C076F48F61C9137C07XCI" TargetMode="External"/><Relationship Id="rId11" Type="http://schemas.openxmlformats.org/officeDocument/2006/relationships/hyperlink" Target="consultantplus://offline/ref=DA11CE06F38A708477A63B147D5169FD09BA6A6FB004AC858B5806009D41A8C076F48F61C9137C07XBI" TargetMode="External"/><Relationship Id="rId24" Type="http://schemas.openxmlformats.org/officeDocument/2006/relationships/hyperlink" Target="consultantplus://offline/ref=DA11CE06F38A708477A63B147D5169FD07BA6A62BD04AC858B5806009D41A8C076F48F61C9137C07XDI" TargetMode="External"/><Relationship Id="rId32" Type="http://schemas.openxmlformats.org/officeDocument/2006/relationships/hyperlink" Target="consultantplus://offline/ref=DA11CE06F38A708477A63B147D5169FD07BB606EB404AC858B5806009D41A8C076F48F61C9137907X3I" TargetMode="External"/><Relationship Id="rId37" Type="http://schemas.openxmlformats.org/officeDocument/2006/relationships/hyperlink" Target="consultantplus://offline/ref=DA11CE06F38A708477A63B147D5169FD0FB26D6EB209F18F83010A029A4EF7D771BD8360C9137D7B0DX0I" TargetMode="External"/><Relationship Id="rId40" Type="http://schemas.openxmlformats.org/officeDocument/2006/relationships/hyperlink" Target="consultantplus://offline/ref=DA11CE06F38A708477A63B147D5169FD0FB6686AB40BF18F83010A029A4EF7D771BD8364CF01X3I" TargetMode="External"/><Relationship Id="rId45" Type="http://schemas.openxmlformats.org/officeDocument/2006/relationships/hyperlink" Target="consultantplus://offline/ref=DA11CE06F38A708477A63B147D5169FD07B06D6EB304AC858B5806009D41A8C076F48F61C9137E07XDI" TargetMode="External"/><Relationship Id="rId53" Type="http://schemas.openxmlformats.org/officeDocument/2006/relationships/hyperlink" Target="consultantplus://offline/ref=DA11CE06F38A708477A63B147D5169FD0FB76E69B50CF18F83010A029A4EF7D771BD8360C9137E790DXEI" TargetMode="External"/><Relationship Id="rId58" Type="http://schemas.openxmlformats.org/officeDocument/2006/relationships/hyperlink" Target="consultantplus://offline/ref=DA11CE06F38A708477A63B147D5169FD09BA6A6FB004AC858B5806009D41A8C076F48F61C9137C07XBI" TargetMode="External"/><Relationship Id="rId5" Type="http://schemas.openxmlformats.org/officeDocument/2006/relationships/hyperlink" Target="consultantplus://offline/ref=DA11CE06F38A708477A63B147D5169FD09BA6A6FB004AC858B5806009D41A8C076F48F61C9137C07XBI" TargetMode="External"/><Relationship Id="rId15" Type="http://schemas.openxmlformats.org/officeDocument/2006/relationships/hyperlink" Target="consultantplus://offline/ref=DA11CE06F38A708477A63B147D5169FD07B06D6EB304AC858B5806009D41A8C076F48F61C9137C07X3I" TargetMode="External"/><Relationship Id="rId23" Type="http://schemas.openxmlformats.org/officeDocument/2006/relationships/hyperlink" Target="consultantplus://offline/ref=DA11CE06F38A708477A63B147D5169FD0FB26A69BC08F18F83010A029A4EF7D771BD8360C9137D7A0DXEI" TargetMode="External"/><Relationship Id="rId28" Type="http://schemas.openxmlformats.org/officeDocument/2006/relationships/hyperlink" Target="consultantplus://offline/ref=DA11CE06F38A708477A63B147D5169FD0FB26D6EB209F18F83010A029A4EF7D771BD8360C9137D7B0DX0I" TargetMode="External"/><Relationship Id="rId36" Type="http://schemas.openxmlformats.org/officeDocument/2006/relationships/hyperlink" Target="consultantplus://offline/ref=DA11CE06F38A708477A63B147D5169FD0FB6686AB40BF18F83010A029A4EF7D771BD8360C9137B7C0DX1I" TargetMode="External"/><Relationship Id="rId49" Type="http://schemas.openxmlformats.org/officeDocument/2006/relationships/hyperlink" Target="consultantplus://offline/ref=DA11CE06F38A708477A63B147D5169FD09BA6A6FB004AC858B5806009D41A8C076F48F61C9137C07XBI" TargetMode="External"/><Relationship Id="rId57" Type="http://schemas.openxmlformats.org/officeDocument/2006/relationships/hyperlink" Target="consultantplus://offline/ref=DA11CE06F38A708477A63B147D5169FD09BA6A6FB004AC858B5806009D41A8C076F48F61C9137C07XBI" TargetMode="External"/><Relationship Id="rId61" Type="http://schemas.openxmlformats.org/officeDocument/2006/relationships/theme" Target="theme/theme1.xml"/><Relationship Id="rId10" Type="http://schemas.openxmlformats.org/officeDocument/2006/relationships/hyperlink" Target="consultantplus://offline/ref=DA11CE06F38A708477A63B147D5169FD08BB606CB704AC858B5806009D41A8C076F48F61C9137C07XCI" TargetMode="External"/><Relationship Id="rId19" Type="http://schemas.openxmlformats.org/officeDocument/2006/relationships/hyperlink" Target="consultantplus://offline/ref=DA11CE06F38A708477A63B147D5169FD07BB606EB404AC858B5806009D41A8C076F48F61C9137907X3I" TargetMode="External"/><Relationship Id="rId31" Type="http://schemas.openxmlformats.org/officeDocument/2006/relationships/hyperlink" Target="consultantplus://offline/ref=DA11CE06F38A708477A63B147D5169FD0AB36968B004AC858B5806009D41A8C076F48F61C9137F07XEI" TargetMode="External"/><Relationship Id="rId44" Type="http://schemas.openxmlformats.org/officeDocument/2006/relationships/hyperlink" Target="consultantplus://offline/ref=DA11CE06F38A708477A63B147D5169FD07B06D6EB304AC858B5806009D41A8C076F48F61C9137E07XEI" TargetMode="External"/><Relationship Id="rId52" Type="http://schemas.openxmlformats.org/officeDocument/2006/relationships/hyperlink" Target="consultantplus://offline/ref=DA11CE06F38A708477A63B147D5169FD0FB7616DB10DF18F83010A029A04XEI" TargetMode="External"/><Relationship Id="rId60" Type="http://schemas.openxmlformats.org/officeDocument/2006/relationships/fontTable" Target="fontTable.xml"/><Relationship Id="rId4" Type="http://schemas.openxmlformats.org/officeDocument/2006/relationships/hyperlink" Target="consultantplus://offline/ref=DA11CE06F38A708477A63B147D5169FD08BB606CB704AC858B5806009D41A8C076F48F61C9137D07XCI" TargetMode="External"/><Relationship Id="rId9" Type="http://schemas.openxmlformats.org/officeDocument/2006/relationships/hyperlink" Target="consultantplus://offline/ref=DA11CE06F38A708477A63B147D5169FD0BB66F6AB204AC858B5806009D41A8C076F48F61C9127E07XCI" TargetMode="External"/><Relationship Id="rId14" Type="http://schemas.openxmlformats.org/officeDocument/2006/relationships/hyperlink" Target="consultantplus://offline/ref=DA11CE06F38A708477A63B147D5169FD0BB66F6AB204AC858B5806009D41A8C076F48F61C9127E07XCI" TargetMode="External"/><Relationship Id="rId22" Type="http://schemas.openxmlformats.org/officeDocument/2006/relationships/hyperlink" Target="consultantplus://offline/ref=DA11CE06F38A708477A63B147D5169FD0FB26A69BC08F18F83010A029A4EF7D771BD8360C9137D7A0DXDI" TargetMode="External"/><Relationship Id="rId27" Type="http://schemas.openxmlformats.org/officeDocument/2006/relationships/hyperlink" Target="consultantplus://offline/ref=DA11CE06F38A708477A63B147D5169FD07BA6A62BD04AC858B5806009D41A8C076F48F61C9137C07XDI" TargetMode="External"/><Relationship Id="rId30" Type="http://schemas.openxmlformats.org/officeDocument/2006/relationships/hyperlink" Target="consultantplus://offline/ref=DA11CE06F38A708477A63B147D5169FD08BB606CB704AC858B5806009D41A8C076F48F61C9137C07X3I" TargetMode="External"/><Relationship Id="rId35" Type="http://schemas.openxmlformats.org/officeDocument/2006/relationships/hyperlink" Target="consultantplus://offline/ref=DA11CE06F38A708477A63B147D5169FD07B06D6EB304AC858B5806009D41A8C076F48F61C9137F07X8I" TargetMode="External"/><Relationship Id="rId43" Type="http://schemas.openxmlformats.org/officeDocument/2006/relationships/hyperlink" Target="consultantplus://offline/ref=DA11CE06F38A708477A63B147D5169FD07B06D6EB304AC858B5806009D41A8C076F48F61C9137E07XFI" TargetMode="External"/><Relationship Id="rId48" Type="http://schemas.openxmlformats.org/officeDocument/2006/relationships/hyperlink" Target="consultantplus://offline/ref=DA11CE06F38A708477A63B147D5169FD09BA6A6FB004AC858B5806009D41A8C076F48F61C9137C07XEI" TargetMode="External"/><Relationship Id="rId56" Type="http://schemas.openxmlformats.org/officeDocument/2006/relationships/hyperlink" Target="consultantplus://offline/ref=DA11CE06F38A708477A63B147D5169FD09BA6A6FB004AC858B5806009D41A8C076F48F61C9137C07XBI" TargetMode="External"/><Relationship Id="rId8" Type="http://schemas.openxmlformats.org/officeDocument/2006/relationships/hyperlink" Target="consultantplus://offline/ref=DA11CE06F38A708477A63B147D5169FD0FB7616DB10DF18F83010A029A4EF7D771BD8360C9137F7F0DXFI" TargetMode="External"/><Relationship Id="rId51" Type="http://schemas.openxmlformats.org/officeDocument/2006/relationships/hyperlink" Target="consultantplus://offline/ref=DA11CE06F38A708477A63B147D5169FD0FB7616BB409F18F83010A029A4EF7D771BD8360C9137B7A0DX0I" TargetMode="External"/><Relationship Id="rId3" Type="http://schemas.openxmlformats.org/officeDocument/2006/relationships/webSettings" Target="webSettings.xml"/><Relationship Id="rId12" Type="http://schemas.openxmlformats.org/officeDocument/2006/relationships/hyperlink" Target="consultantplus://offline/ref=DA11CE06F38A708477A63B147D5169FD07B06D6EB304AC858B5806009D41A8C076F48F61C9137C07XCI" TargetMode="External"/><Relationship Id="rId17" Type="http://schemas.openxmlformats.org/officeDocument/2006/relationships/hyperlink" Target="consultantplus://offline/ref=DA11CE06F38A708477A63B147D5169FD0FB26B6AB207F18F83010A029A4EF7D771BD8360C9137D7A0DXAI" TargetMode="External"/><Relationship Id="rId25" Type="http://schemas.openxmlformats.org/officeDocument/2006/relationships/hyperlink" Target="consultantplus://offline/ref=DA11CE06F38A708477A63B147D5169FD07BA6A62BD04AC858B5806009D41A8C076F48F61C9137C07XDI" TargetMode="External"/><Relationship Id="rId33" Type="http://schemas.openxmlformats.org/officeDocument/2006/relationships/hyperlink" Target="consultantplus://offline/ref=DA11CE06F38A708477A63B147D5169FD06B66063B104AC858B58060009XDI" TargetMode="External"/><Relationship Id="rId38" Type="http://schemas.openxmlformats.org/officeDocument/2006/relationships/hyperlink" Target="consultantplus://offline/ref=DA11CE06F38A708477A63B147D5169FD07B06D6EB304AC858B5806009D41A8C076F48F61C9137E07XBI" TargetMode="External"/><Relationship Id="rId46" Type="http://schemas.openxmlformats.org/officeDocument/2006/relationships/hyperlink" Target="consultantplus://offline/ref=DA11CE06F38A708477A63B147D5169FD0AB36B69B404AC858B5806009D41A8C076F48F61C9137907XAI" TargetMode="External"/><Relationship Id="rId59" Type="http://schemas.openxmlformats.org/officeDocument/2006/relationships/hyperlink" Target="consultantplus://offline/ref=DA11CE06F38A708477A63B147D5169FD09BA6A6FB004AC858B5806009D41A8C076F48F61C9137C07X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26</Pages>
  <Words>12559</Words>
  <Characters>71588</Characters>
  <Application>Microsoft Office Word</Application>
  <DocSecurity>0</DocSecurity>
  <Lines>596</Lines>
  <Paragraphs>167</Paragraphs>
  <ScaleCrop>false</ScaleCrop>
  <Company/>
  <LinksUpToDate>false</LinksUpToDate>
  <CharactersWithSpaces>83980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Тихонова</dc:creator>
  <cp:lastModifiedBy>Тихонова</cp:lastModifiedBy>
  <cp:revision>1</cp:revision>
  <dcterms:created xsi:type="dcterms:W3CDTF">2013-08-09T08:23:00Z</dcterms:created>
  <dcterms:modified xsi:type="dcterms:W3CDTF">2013-08-09T08:25:00Z</dcterms:modified>
</cp:coreProperties>
</file>